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D16" w:rsidRPr="00747171" w:rsidRDefault="00101D16" w:rsidP="00101D16">
      <w:pPr>
        <w:keepNext/>
        <w:keepLines/>
        <w:spacing w:before="240" w:after="0"/>
        <w:outlineLvl w:val="1"/>
        <w:rPr>
          <w:rFonts w:eastAsiaTheme="majorEastAsia" w:cstheme="minorHAnsi"/>
          <w:b/>
          <w:color w:val="2E74B5" w:themeColor="accent1" w:themeShade="BF"/>
          <w:sz w:val="28"/>
          <w:szCs w:val="28"/>
        </w:rPr>
      </w:pPr>
      <w:bookmarkStart w:id="0" w:name="_Toc21513001"/>
      <w:bookmarkStart w:id="1" w:name="_Toc21518201"/>
      <w:bookmarkStart w:id="2" w:name="_Toc31626270"/>
      <w:r w:rsidRPr="00747171">
        <w:rPr>
          <w:rFonts w:eastAsia="Calibri" w:cstheme="minorHAnsi"/>
          <w:b/>
          <w:color w:val="2E74B5" w:themeColor="accent1" w:themeShade="BF"/>
          <w:sz w:val="28"/>
          <w:szCs w:val="28"/>
        </w:rPr>
        <w:t xml:space="preserve">Secondary </w:t>
      </w:r>
      <w:r w:rsidRPr="00747171">
        <w:rPr>
          <w:rFonts w:eastAsiaTheme="majorEastAsia" w:cstheme="minorHAnsi"/>
          <w:b/>
          <w:color w:val="2E74B5" w:themeColor="accent1" w:themeShade="BF"/>
          <w:sz w:val="28"/>
          <w:szCs w:val="28"/>
        </w:rPr>
        <w:t>Size, Scope, and Quality</w:t>
      </w:r>
      <w:bookmarkEnd w:id="0"/>
      <w:bookmarkEnd w:id="1"/>
      <w:bookmarkEnd w:id="2"/>
    </w:p>
    <w:p w:rsidR="00101D16" w:rsidRPr="00747171" w:rsidRDefault="00101D16" w:rsidP="00101D16">
      <w:pPr>
        <w:spacing w:before="240"/>
        <w:rPr>
          <w:rFonts w:eastAsia="Calibri"/>
        </w:rPr>
      </w:pPr>
      <w:r w:rsidRPr="00747171">
        <w:rPr>
          <w:rFonts w:eastAsia="Calibri"/>
        </w:rPr>
        <w:t xml:space="preserve">Perkins V supports career and technical education (CTE) that prepares students for postsecondary education resulting in an industry certification, an associate or baccalaureate degree, and leads to employment in high-skill, high-wage, and/or in-demand careers.  To be eligible for funding of their CTE programs, Connecticut high schools must meet both federal and state requirements under the law. </w:t>
      </w:r>
    </w:p>
    <w:p w:rsidR="00101D16" w:rsidRPr="00747171" w:rsidRDefault="00101D16" w:rsidP="00101D16">
      <w:pPr>
        <w:rPr>
          <w:rFonts w:eastAsia="Calibri"/>
        </w:rPr>
      </w:pPr>
      <w:r w:rsidRPr="00747171">
        <w:rPr>
          <w:rFonts w:eastAsia="Calibri"/>
        </w:rPr>
        <w:t xml:space="preserve">In the Perkins applications, all eligible secondary recipients shall provide assurances that all CTE programs </w:t>
      </w:r>
      <w:r>
        <w:rPr>
          <w:rFonts w:eastAsia="Calibri"/>
        </w:rPr>
        <w:t xml:space="preserve">provide equal access and </w:t>
      </w:r>
      <w:r w:rsidRPr="00747171">
        <w:rPr>
          <w:rFonts w:eastAsia="Calibri"/>
        </w:rPr>
        <w:t xml:space="preserve">are sufficient in size, scope, and quality to meet the needs of all students. </w:t>
      </w:r>
    </w:p>
    <w:p w:rsidR="00101D16" w:rsidRPr="00747171" w:rsidRDefault="00101D16" w:rsidP="00101D16">
      <w:pPr>
        <w:shd w:val="clear" w:color="auto" w:fill="DEEAF6"/>
        <w:jc w:val="center"/>
        <w:rPr>
          <w:rFonts w:eastAsia="Calibri"/>
          <w:b/>
          <w:bCs/>
        </w:rPr>
      </w:pPr>
      <w:r w:rsidRPr="00747171">
        <w:rPr>
          <w:rFonts w:eastAsia="Calibri"/>
          <w:b/>
          <w:bCs/>
        </w:rPr>
        <w:t>Size</w:t>
      </w:r>
    </w:p>
    <w:p w:rsidR="00101D16" w:rsidRPr="00747171" w:rsidRDefault="00101D16" w:rsidP="00101D16">
      <w:pPr>
        <w:numPr>
          <w:ilvl w:val="0"/>
          <w:numId w:val="4"/>
        </w:numPr>
        <w:spacing w:after="120"/>
        <w:contextualSpacing/>
        <w:rPr>
          <w:rFonts w:eastAsia="Calibri"/>
        </w:rPr>
      </w:pPr>
      <w:r w:rsidRPr="00747171">
        <w:rPr>
          <w:rFonts w:eastAsia="Calibri"/>
          <w:bCs/>
        </w:rPr>
        <w:t xml:space="preserve">Offer at least three of the 12 funded Connecticut CTE Career Clusters: </w:t>
      </w:r>
    </w:p>
    <w:p w:rsidR="00101D16" w:rsidRPr="00747171" w:rsidRDefault="00101D16" w:rsidP="00101D16">
      <w:pPr>
        <w:numPr>
          <w:ilvl w:val="0"/>
          <w:numId w:val="5"/>
        </w:numPr>
        <w:spacing w:after="120"/>
        <w:contextualSpacing/>
        <w:rPr>
          <w:rFonts w:eastAsia="Calibri"/>
        </w:rPr>
      </w:pPr>
      <w:r w:rsidRPr="00747171">
        <w:rPr>
          <w:rFonts w:eastAsia="Calibri"/>
        </w:rPr>
        <w:t>Agriculture, Food and Natural Resources;</w:t>
      </w:r>
    </w:p>
    <w:p w:rsidR="00101D16" w:rsidRPr="00747171" w:rsidRDefault="00101D16" w:rsidP="00101D16">
      <w:pPr>
        <w:numPr>
          <w:ilvl w:val="0"/>
          <w:numId w:val="5"/>
        </w:numPr>
        <w:spacing w:after="120"/>
        <w:contextualSpacing/>
        <w:rPr>
          <w:rFonts w:eastAsia="Calibri"/>
        </w:rPr>
      </w:pPr>
      <w:r w:rsidRPr="00747171">
        <w:rPr>
          <w:rFonts w:eastAsia="Calibri"/>
        </w:rPr>
        <w:t>Architecture and Construction;</w:t>
      </w:r>
    </w:p>
    <w:p w:rsidR="00101D16" w:rsidRPr="00747171" w:rsidRDefault="00101D16" w:rsidP="00101D16">
      <w:pPr>
        <w:numPr>
          <w:ilvl w:val="0"/>
          <w:numId w:val="5"/>
        </w:numPr>
        <w:spacing w:after="120"/>
        <w:contextualSpacing/>
        <w:rPr>
          <w:rFonts w:eastAsia="Calibri"/>
        </w:rPr>
      </w:pPr>
      <w:r w:rsidRPr="00747171">
        <w:rPr>
          <w:rFonts w:eastAsia="Calibri"/>
        </w:rPr>
        <w:t>Business Management and Administration;</w:t>
      </w:r>
    </w:p>
    <w:p w:rsidR="00101D16" w:rsidRPr="00747171" w:rsidRDefault="00101D16" w:rsidP="00101D16">
      <w:pPr>
        <w:numPr>
          <w:ilvl w:val="0"/>
          <w:numId w:val="5"/>
        </w:numPr>
        <w:spacing w:after="120"/>
        <w:contextualSpacing/>
        <w:rPr>
          <w:rFonts w:eastAsia="Calibri"/>
        </w:rPr>
      </w:pPr>
      <w:r w:rsidRPr="00747171">
        <w:rPr>
          <w:rFonts w:eastAsia="Calibri"/>
        </w:rPr>
        <w:t>Education and Training;</w:t>
      </w:r>
    </w:p>
    <w:p w:rsidR="00101D16" w:rsidRPr="00747171" w:rsidRDefault="00101D16" w:rsidP="00101D16">
      <w:pPr>
        <w:numPr>
          <w:ilvl w:val="0"/>
          <w:numId w:val="5"/>
        </w:numPr>
        <w:spacing w:after="120"/>
        <w:contextualSpacing/>
        <w:rPr>
          <w:rFonts w:eastAsia="Calibri"/>
        </w:rPr>
      </w:pPr>
      <w:r w:rsidRPr="00747171">
        <w:rPr>
          <w:rFonts w:eastAsia="Calibri"/>
        </w:rPr>
        <w:t>Finance;</w:t>
      </w:r>
    </w:p>
    <w:p w:rsidR="00101D16" w:rsidRPr="00747171" w:rsidRDefault="00101D16" w:rsidP="00101D16">
      <w:pPr>
        <w:numPr>
          <w:ilvl w:val="0"/>
          <w:numId w:val="5"/>
        </w:numPr>
        <w:spacing w:after="120"/>
        <w:contextualSpacing/>
        <w:rPr>
          <w:rFonts w:eastAsia="Calibri"/>
        </w:rPr>
      </w:pPr>
      <w:r w:rsidRPr="00747171">
        <w:rPr>
          <w:rFonts w:eastAsia="Calibri"/>
        </w:rPr>
        <w:t>Health Science;</w:t>
      </w:r>
    </w:p>
    <w:p w:rsidR="00101D16" w:rsidRPr="00747171" w:rsidRDefault="00101D16" w:rsidP="00101D16">
      <w:pPr>
        <w:numPr>
          <w:ilvl w:val="0"/>
          <w:numId w:val="5"/>
        </w:numPr>
        <w:spacing w:after="120"/>
        <w:contextualSpacing/>
        <w:rPr>
          <w:rFonts w:eastAsia="Calibri"/>
        </w:rPr>
      </w:pPr>
      <w:r w:rsidRPr="00747171">
        <w:rPr>
          <w:rFonts w:eastAsia="Calibri"/>
        </w:rPr>
        <w:t>Hospitality and Tourism;</w:t>
      </w:r>
    </w:p>
    <w:p w:rsidR="00101D16" w:rsidRPr="00747171" w:rsidRDefault="00101D16" w:rsidP="00101D16">
      <w:pPr>
        <w:numPr>
          <w:ilvl w:val="0"/>
          <w:numId w:val="5"/>
        </w:numPr>
        <w:spacing w:after="120"/>
        <w:contextualSpacing/>
        <w:rPr>
          <w:rFonts w:eastAsia="Calibri"/>
        </w:rPr>
      </w:pPr>
      <w:r w:rsidRPr="00747171">
        <w:rPr>
          <w:rFonts w:eastAsia="Calibri"/>
        </w:rPr>
        <w:t>Information Technology;</w:t>
      </w:r>
    </w:p>
    <w:p w:rsidR="00101D16" w:rsidRPr="00747171" w:rsidRDefault="00101D16" w:rsidP="00101D16">
      <w:pPr>
        <w:numPr>
          <w:ilvl w:val="0"/>
          <w:numId w:val="5"/>
        </w:numPr>
        <w:spacing w:after="120"/>
        <w:contextualSpacing/>
        <w:rPr>
          <w:rFonts w:eastAsia="Calibri"/>
        </w:rPr>
      </w:pPr>
      <w:r w:rsidRPr="00747171">
        <w:rPr>
          <w:rFonts w:eastAsia="Calibri"/>
        </w:rPr>
        <w:t>Manufacturing;</w:t>
      </w:r>
    </w:p>
    <w:p w:rsidR="00101D16" w:rsidRPr="00747171" w:rsidRDefault="00101D16" w:rsidP="00101D16">
      <w:pPr>
        <w:numPr>
          <w:ilvl w:val="0"/>
          <w:numId w:val="5"/>
        </w:numPr>
        <w:spacing w:after="120"/>
        <w:contextualSpacing/>
        <w:rPr>
          <w:rFonts w:eastAsia="Calibri"/>
        </w:rPr>
      </w:pPr>
      <w:r w:rsidRPr="00747171">
        <w:rPr>
          <w:rFonts w:eastAsia="Calibri"/>
        </w:rPr>
        <w:t>Marketing;</w:t>
      </w:r>
    </w:p>
    <w:p w:rsidR="00101D16" w:rsidRPr="00747171" w:rsidRDefault="00101D16" w:rsidP="00101D16">
      <w:pPr>
        <w:numPr>
          <w:ilvl w:val="0"/>
          <w:numId w:val="5"/>
        </w:numPr>
        <w:spacing w:after="120"/>
        <w:contextualSpacing/>
        <w:rPr>
          <w:rFonts w:eastAsia="Calibri"/>
        </w:rPr>
      </w:pPr>
      <w:r w:rsidRPr="00747171">
        <w:rPr>
          <w:rFonts w:eastAsia="Calibri"/>
        </w:rPr>
        <w:t xml:space="preserve">Science, Technology, Engineering, and Mathematics; and </w:t>
      </w:r>
    </w:p>
    <w:p w:rsidR="00101D16" w:rsidRPr="00747171" w:rsidRDefault="00101D16" w:rsidP="00101D16">
      <w:pPr>
        <w:numPr>
          <w:ilvl w:val="0"/>
          <w:numId w:val="5"/>
        </w:numPr>
        <w:spacing w:after="120"/>
        <w:contextualSpacing/>
        <w:rPr>
          <w:rFonts w:eastAsia="Calibri"/>
        </w:rPr>
      </w:pPr>
      <w:r w:rsidRPr="00747171">
        <w:rPr>
          <w:rFonts w:eastAsia="Calibri"/>
        </w:rPr>
        <w:t>Transportation, Distribution</w:t>
      </w:r>
      <w:r>
        <w:rPr>
          <w:rFonts w:eastAsia="Calibri"/>
        </w:rPr>
        <w:t>,</w:t>
      </w:r>
      <w:r w:rsidRPr="00747171">
        <w:rPr>
          <w:rFonts w:eastAsia="Calibri"/>
        </w:rPr>
        <w:t xml:space="preserve"> and Logistics.</w:t>
      </w:r>
    </w:p>
    <w:p w:rsidR="00101D16" w:rsidRPr="00747171" w:rsidRDefault="00101D16" w:rsidP="00101D16">
      <w:pPr>
        <w:spacing w:after="120"/>
        <w:contextualSpacing/>
        <w:rPr>
          <w:rFonts w:eastAsia="Calibri"/>
        </w:rPr>
      </w:pPr>
    </w:p>
    <w:p w:rsidR="00101D16" w:rsidRPr="00747171" w:rsidRDefault="00101D16" w:rsidP="00101D16">
      <w:pPr>
        <w:numPr>
          <w:ilvl w:val="0"/>
          <w:numId w:val="1"/>
        </w:numPr>
        <w:rPr>
          <w:rFonts w:eastAsia="Calibri"/>
          <w:bCs/>
        </w:rPr>
      </w:pPr>
      <w:r w:rsidRPr="00747171">
        <w:rPr>
          <w:rFonts w:eastAsia="Calibri"/>
          <w:bCs/>
        </w:rPr>
        <w:t>Qualify for a minimum allocation of $15,000 or join in a consortium to meet the minimum allocation requirement, including charter and magnet schools.</w:t>
      </w:r>
    </w:p>
    <w:p w:rsidR="00101D16" w:rsidRPr="000E67CC" w:rsidRDefault="00101D16" w:rsidP="00101D16">
      <w:pPr>
        <w:pStyle w:val="ListParagraph"/>
        <w:numPr>
          <w:ilvl w:val="0"/>
          <w:numId w:val="1"/>
        </w:numPr>
        <w:rPr>
          <w:rFonts w:eastAsia="Calibri"/>
          <w:bCs/>
        </w:rPr>
      </w:pPr>
      <w:r w:rsidRPr="000E67CC">
        <w:rPr>
          <w:rFonts w:eastAsia="Calibri"/>
          <w:bCs/>
        </w:rPr>
        <w:t>Identify and report a substantial number of CTE concentrators each year</w:t>
      </w:r>
      <w:proofErr w:type="gramStart"/>
      <w:r w:rsidRPr="000E67CC">
        <w:rPr>
          <w:rFonts w:eastAsia="Calibri"/>
          <w:bCs/>
        </w:rPr>
        <w:t xml:space="preserve">. </w:t>
      </w:r>
      <w:proofErr w:type="gramEnd"/>
      <w:r w:rsidRPr="000E67CC">
        <w:rPr>
          <w:rFonts w:eastAsia="Calibri"/>
          <w:bCs/>
        </w:rPr>
        <w:t>The term “secondary CTE concentrator” means a student served by an eligible recipient who has completed at least two courses in a single career and technical education program of study</w:t>
      </w:r>
      <w:proofErr w:type="gramStart"/>
      <w:r w:rsidRPr="000E67CC">
        <w:rPr>
          <w:rFonts w:eastAsia="Calibri"/>
          <w:bCs/>
        </w:rPr>
        <w:t xml:space="preserve">. </w:t>
      </w:r>
      <w:proofErr w:type="gramEnd"/>
      <w:r w:rsidRPr="000E67CC">
        <w:rPr>
          <w:rFonts w:eastAsia="Calibri"/>
          <w:bCs/>
        </w:rPr>
        <w:t>This means that once a student completes two courses in a single CTE program or program of study, that student is counted as a CTE concentrator.</w:t>
      </w:r>
    </w:p>
    <w:p w:rsidR="00101D16" w:rsidRPr="00747171" w:rsidRDefault="00101D16" w:rsidP="00101D16">
      <w:pPr>
        <w:shd w:val="clear" w:color="auto" w:fill="DEEAF6"/>
        <w:jc w:val="center"/>
        <w:rPr>
          <w:rFonts w:eastAsia="Calibri"/>
          <w:b/>
        </w:rPr>
      </w:pPr>
      <w:r>
        <w:rPr>
          <w:rFonts w:eastAsia="Calibri"/>
          <w:b/>
        </w:rPr>
        <w:t>Scope</w:t>
      </w:r>
    </w:p>
    <w:p w:rsidR="00101D16" w:rsidRDefault="00101D16" w:rsidP="00101D16">
      <w:pPr>
        <w:numPr>
          <w:ilvl w:val="0"/>
          <w:numId w:val="2"/>
        </w:numPr>
        <w:rPr>
          <w:rFonts w:ascii="Cambria" w:eastAsia="Calibri" w:hAnsi="Cambria" w:cs="Cambria"/>
          <w:color w:val="000000"/>
        </w:rPr>
      </w:pPr>
      <w:r w:rsidRPr="00747171">
        <w:rPr>
          <w:rFonts w:eastAsia="Calibri"/>
          <w:bCs/>
        </w:rPr>
        <w:t xml:space="preserve">Have student success plans in place for each student. </w:t>
      </w:r>
    </w:p>
    <w:p w:rsidR="00101D16" w:rsidRDefault="00101D16" w:rsidP="00101D16">
      <w:pPr>
        <w:numPr>
          <w:ilvl w:val="0"/>
          <w:numId w:val="2"/>
        </w:numPr>
        <w:rPr>
          <w:rFonts w:ascii="Cambria" w:eastAsia="Calibri" w:hAnsi="Cambria" w:cs="Cambria"/>
          <w:color w:val="000000"/>
        </w:rPr>
      </w:pPr>
      <w:r w:rsidRPr="00216C4A">
        <w:rPr>
          <w:rFonts w:eastAsia="Calibri"/>
        </w:rPr>
        <w:t xml:space="preserve">Coordinate secondary and postsecondary education programs through </w:t>
      </w:r>
      <w:r>
        <w:rPr>
          <w:rFonts w:eastAsia="Calibri"/>
        </w:rPr>
        <w:t xml:space="preserve">aligned </w:t>
      </w:r>
      <w:r w:rsidRPr="00216C4A">
        <w:rPr>
          <w:rFonts w:eastAsia="Calibri"/>
        </w:rPr>
        <w:t xml:space="preserve">programs of study </w:t>
      </w:r>
      <w:r>
        <w:rPr>
          <w:rFonts w:eastAsia="Calibri"/>
        </w:rPr>
        <w:t>when</w:t>
      </w:r>
      <w:r w:rsidRPr="00216C4A">
        <w:rPr>
          <w:rFonts w:eastAsia="Calibri"/>
        </w:rPr>
        <w:t xml:space="preserve"> </w:t>
      </w:r>
      <w:r>
        <w:rPr>
          <w:rFonts w:eastAsia="Calibri"/>
        </w:rPr>
        <w:t xml:space="preserve">offering </w:t>
      </w:r>
      <w:r w:rsidRPr="00216C4A">
        <w:rPr>
          <w:rFonts w:eastAsia="Calibri"/>
        </w:rPr>
        <w:t>articulated coursework</w:t>
      </w:r>
      <w:r>
        <w:rPr>
          <w:rFonts w:eastAsia="Calibri"/>
        </w:rPr>
        <w:t>.</w:t>
      </w:r>
    </w:p>
    <w:p w:rsidR="00101D16" w:rsidRPr="00781891" w:rsidRDefault="00101D16" w:rsidP="00101D16">
      <w:pPr>
        <w:numPr>
          <w:ilvl w:val="0"/>
          <w:numId w:val="2"/>
        </w:numPr>
        <w:rPr>
          <w:rFonts w:ascii="Cambria" w:eastAsia="Calibri" w:hAnsi="Cambria" w:cs="Cambria"/>
          <w:color w:val="000000"/>
        </w:rPr>
      </w:pPr>
      <w:r>
        <w:rPr>
          <w:rFonts w:eastAsia="Calibri"/>
          <w:bCs/>
        </w:rPr>
        <w:t xml:space="preserve">Offer at least three of the 12 funded Connecticut CTE Career Clusters (Clusters) with </w:t>
      </w:r>
      <w:r w:rsidRPr="00216C4A">
        <w:rPr>
          <w:rFonts w:eastAsia="Calibri"/>
          <w:bCs/>
        </w:rPr>
        <w:t xml:space="preserve">a minimum of one CTE pathway </w:t>
      </w:r>
      <w:r>
        <w:rPr>
          <w:rFonts w:eastAsia="Calibri"/>
          <w:bCs/>
        </w:rPr>
        <w:t>per Cluster and at least one program of study per pathway consisting of a two course sequence.</w:t>
      </w:r>
    </w:p>
    <w:p w:rsidR="00101D16" w:rsidRDefault="00101D16" w:rsidP="00101D16">
      <w:pPr>
        <w:numPr>
          <w:ilvl w:val="0"/>
          <w:numId w:val="2"/>
        </w:numPr>
        <w:rPr>
          <w:rFonts w:ascii="Cambria" w:eastAsia="Calibri" w:hAnsi="Cambria" w:cs="Cambria"/>
          <w:color w:val="000000"/>
        </w:rPr>
      </w:pPr>
      <w:r>
        <w:rPr>
          <w:rFonts w:eastAsia="Calibri"/>
          <w:bCs/>
        </w:rPr>
        <w:t>Create and name a program of study that represents the courses and experiences offered by the eligible recipient.</w:t>
      </w:r>
    </w:p>
    <w:p w:rsidR="00101D16" w:rsidRDefault="00101D16" w:rsidP="00101D16">
      <w:pPr>
        <w:numPr>
          <w:ilvl w:val="0"/>
          <w:numId w:val="2"/>
        </w:numPr>
        <w:rPr>
          <w:rFonts w:ascii="Cambria" w:eastAsia="Calibri" w:hAnsi="Cambria" w:cs="Cambria"/>
          <w:color w:val="000000"/>
        </w:rPr>
      </w:pPr>
      <w:r w:rsidRPr="00842C1C">
        <w:rPr>
          <w:rFonts w:eastAsia="Calibri"/>
          <w:bCs/>
        </w:rPr>
        <w:lastRenderedPageBreak/>
        <w:t>Incorporate relevant national career and technical standards that prepare students for careers in current or emerging professions (e.g., The Common Career Technical Core)</w:t>
      </w:r>
      <w:r w:rsidRPr="003B2510">
        <w:t xml:space="preserve"> </w:t>
      </w:r>
      <w:r w:rsidRPr="00842C1C">
        <w:rPr>
          <w:rFonts w:eastAsia="Calibri"/>
          <w:bCs/>
        </w:rPr>
        <w:t>in each Cluster for which funding is requested.</w:t>
      </w:r>
    </w:p>
    <w:p w:rsidR="00101D16" w:rsidRDefault="00101D16" w:rsidP="00101D16">
      <w:pPr>
        <w:numPr>
          <w:ilvl w:val="0"/>
          <w:numId w:val="2"/>
        </w:numPr>
        <w:rPr>
          <w:rFonts w:ascii="Cambria" w:eastAsia="Calibri" w:hAnsi="Cambria" w:cs="Cambria"/>
          <w:color w:val="000000"/>
        </w:rPr>
      </w:pPr>
      <w:r>
        <w:rPr>
          <w:rFonts w:eastAsia="Calibri"/>
          <w:bCs/>
        </w:rPr>
        <w:t>Make meaningful improvement progress towards increasing</w:t>
      </w:r>
      <w:r w:rsidRPr="00842C1C">
        <w:rPr>
          <w:rFonts w:eastAsia="Calibri"/>
          <w:bCs/>
        </w:rPr>
        <w:t xml:space="preserve"> </w:t>
      </w:r>
      <w:r>
        <w:rPr>
          <w:rFonts w:eastAsia="Calibri"/>
          <w:bCs/>
        </w:rPr>
        <w:t>the opportunities for students</w:t>
      </w:r>
      <w:r w:rsidRPr="00842C1C">
        <w:rPr>
          <w:rFonts w:eastAsia="Calibri"/>
          <w:bCs/>
        </w:rPr>
        <w:t xml:space="preserve"> to participate in work-based learning (e.g., cooperative work education, supervised entrepreneurial experience, internships, pre-apprenticeships, school-based enterprises, and simulated work environments) that </w:t>
      </w:r>
      <w:r>
        <w:rPr>
          <w:rFonts w:eastAsia="Calibri"/>
          <w:bCs/>
        </w:rPr>
        <w:t>support</w:t>
      </w:r>
      <w:r w:rsidRPr="00842C1C">
        <w:rPr>
          <w:rFonts w:eastAsia="Calibri"/>
          <w:bCs/>
        </w:rPr>
        <w:t xml:space="preserve"> the development of academic knowledge, higher-order reasoning and problem-solving skills, work attitudes, employability skills, technical skills, and occupation-specific skills, and knowledge of all aspects of an industry.</w:t>
      </w:r>
    </w:p>
    <w:p w:rsidR="00101D16" w:rsidRPr="003F7EDA" w:rsidRDefault="00101D16" w:rsidP="00101D16">
      <w:pPr>
        <w:numPr>
          <w:ilvl w:val="0"/>
          <w:numId w:val="2"/>
        </w:numPr>
        <w:rPr>
          <w:rFonts w:ascii="Cambria" w:eastAsia="Calibri" w:hAnsi="Cambria" w:cs="Cambria"/>
          <w:color w:val="000000"/>
        </w:rPr>
      </w:pPr>
      <w:r w:rsidRPr="003F7EDA">
        <w:rPr>
          <w:rFonts w:eastAsia="Calibri"/>
        </w:rPr>
        <w:t xml:space="preserve">Establish a minimum of one Career and Technical Student Organization (CTSO) with at least 10 state and national paid memberships.  </w:t>
      </w:r>
    </w:p>
    <w:p w:rsidR="00101D16" w:rsidRPr="00A76375" w:rsidRDefault="00101D16" w:rsidP="00101D16">
      <w:pPr>
        <w:numPr>
          <w:ilvl w:val="0"/>
          <w:numId w:val="2"/>
        </w:numPr>
        <w:rPr>
          <w:rFonts w:ascii="Cambria" w:eastAsia="Calibri" w:hAnsi="Cambria" w:cs="Cambria"/>
          <w:color w:val="000000"/>
        </w:rPr>
      </w:pPr>
      <w:r>
        <w:rPr>
          <w:rFonts w:eastAsia="Calibri"/>
        </w:rPr>
        <w:t>Encouraged but not required:</w:t>
      </w:r>
    </w:p>
    <w:p w:rsidR="00101D16" w:rsidRDefault="00101D16" w:rsidP="00101D16">
      <w:pPr>
        <w:numPr>
          <w:ilvl w:val="1"/>
          <w:numId w:val="2"/>
        </w:numPr>
        <w:rPr>
          <w:rFonts w:ascii="Cambria" w:eastAsia="Calibri" w:hAnsi="Cambria" w:cs="Cambria"/>
          <w:color w:val="000000"/>
        </w:rPr>
      </w:pPr>
      <w:r w:rsidRPr="003F7EDA">
        <w:rPr>
          <w:rFonts w:eastAsia="Calibri"/>
        </w:rPr>
        <w:t>Participation in at least one CTSO leadership conference.</w:t>
      </w:r>
    </w:p>
    <w:p w:rsidR="00101D16" w:rsidRDefault="00101D16" w:rsidP="00101D16">
      <w:pPr>
        <w:numPr>
          <w:ilvl w:val="1"/>
          <w:numId w:val="2"/>
        </w:numPr>
        <w:rPr>
          <w:rFonts w:ascii="Cambria" w:eastAsia="Calibri" w:hAnsi="Cambria" w:cs="Cambria"/>
          <w:color w:val="000000"/>
        </w:rPr>
      </w:pPr>
      <w:r>
        <w:rPr>
          <w:rFonts w:eastAsia="Calibri" w:cstheme="minorHAnsi"/>
          <w:color w:val="000000"/>
        </w:rPr>
        <w:t>Opportunities for students</w:t>
      </w:r>
      <w:r w:rsidRPr="003F7EDA">
        <w:rPr>
          <w:rFonts w:eastAsia="Calibri" w:cstheme="minorHAnsi"/>
          <w:color w:val="000000"/>
        </w:rPr>
        <w:t xml:space="preserve"> </w:t>
      </w:r>
      <w:r w:rsidRPr="003F7EDA">
        <w:rPr>
          <w:rFonts w:eastAsia="Calibri" w:cstheme="minorHAnsi"/>
          <w:bCs/>
        </w:rPr>
        <w:t>to earn</w:t>
      </w:r>
      <w:r w:rsidRPr="003F7EDA">
        <w:rPr>
          <w:rFonts w:eastAsia="Calibri"/>
          <w:bCs/>
        </w:rPr>
        <w:t xml:space="preserve"> </w:t>
      </w:r>
      <w:r w:rsidRPr="003F7EDA">
        <w:rPr>
          <w:rFonts w:eastAsia="Calibri"/>
        </w:rPr>
        <w:t>industry-recognized credential</w:t>
      </w:r>
      <w:r>
        <w:rPr>
          <w:rFonts w:eastAsia="Calibri"/>
        </w:rPr>
        <w:t>s</w:t>
      </w:r>
      <w:r w:rsidRPr="003F7EDA">
        <w:rPr>
          <w:rFonts w:eastAsia="Calibri"/>
        </w:rPr>
        <w:t xml:space="preserve"> </w:t>
      </w:r>
      <w:r>
        <w:rPr>
          <w:rFonts w:eastAsia="Calibri"/>
        </w:rPr>
        <w:t>including</w:t>
      </w:r>
      <w:r w:rsidRPr="003F7EDA">
        <w:rPr>
          <w:rFonts w:eastAsia="Calibri"/>
        </w:rPr>
        <w:t>:</w:t>
      </w:r>
    </w:p>
    <w:p w:rsidR="00101D16" w:rsidRDefault="00101D16" w:rsidP="00101D16">
      <w:pPr>
        <w:numPr>
          <w:ilvl w:val="2"/>
          <w:numId w:val="2"/>
        </w:numPr>
        <w:spacing w:after="0"/>
        <w:rPr>
          <w:rFonts w:ascii="Cambria" w:eastAsia="Calibri" w:hAnsi="Cambria" w:cs="Cambria"/>
          <w:color w:val="000000"/>
        </w:rPr>
      </w:pPr>
      <w:r w:rsidRPr="003F7EDA">
        <w:rPr>
          <w:rFonts w:eastAsia="Calibri"/>
          <w:bCs/>
        </w:rPr>
        <w:t>credit(s) towards an associate degree;</w:t>
      </w:r>
    </w:p>
    <w:p w:rsidR="00101D16" w:rsidRDefault="00101D16" w:rsidP="00101D16">
      <w:pPr>
        <w:numPr>
          <w:ilvl w:val="2"/>
          <w:numId w:val="2"/>
        </w:numPr>
        <w:spacing w:after="0"/>
        <w:rPr>
          <w:rFonts w:ascii="Cambria" w:eastAsia="Calibri" w:hAnsi="Cambria" w:cs="Cambria"/>
          <w:color w:val="000000"/>
        </w:rPr>
      </w:pPr>
      <w:r w:rsidRPr="003F7EDA">
        <w:rPr>
          <w:rFonts w:eastAsia="Calibri"/>
        </w:rPr>
        <w:t>a certificate or certification;</w:t>
      </w:r>
    </w:p>
    <w:p w:rsidR="00101D16" w:rsidRDefault="00101D16" w:rsidP="00101D16">
      <w:pPr>
        <w:numPr>
          <w:ilvl w:val="2"/>
          <w:numId w:val="2"/>
        </w:numPr>
        <w:spacing w:after="0"/>
        <w:rPr>
          <w:rFonts w:ascii="Cambria" w:eastAsia="Calibri" w:hAnsi="Cambria" w:cs="Cambria"/>
          <w:color w:val="000000"/>
        </w:rPr>
      </w:pPr>
      <w:r w:rsidRPr="003F7EDA">
        <w:rPr>
          <w:rFonts w:eastAsia="Calibri"/>
        </w:rPr>
        <w:t>a certificate of completion of a pre-apprenticeship; and/or</w:t>
      </w:r>
    </w:p>
    <w:p w:rsidR="00101D16" w:rsidRPr="003F7EDA" w:rsidRDefault="00101D16" w:rsidP="00101D16">
      <w:pPr>
        <w:numPr>
          <w:ilvl w:val="2"/>
          <w:numId w:val="2"/>
        </w:numPr>
        <w:rPr>
          <w:rFonts w:ascii="Cambria" w:eastAsia="Calibri" w:hAnsi="Cambria" w:cs="Cambria"/>
          <w:color w:val="000000"/>
        </w:rPr>
      </w:pPr>
      <w:proofErr w:type="gramStart"/>
      <w:r w:rsidRPr="003F7EDA">
        <w:rPr>
          <w:rFonts w:eastAsia="Calibri"/>
        </w:rPr>
        <w:t>a</w:t>
      </w:r>
      <w:proofErr w:type="gramEnd"/>
      <w:r w:rsidRPr="003F7EDA">
        <w:rPr>
          <w:rFonts w:eastAsia="Calibri"/>
        </w:rPr>
        <w:t xml:space="preserve"> license endorsed by Connecticut.</w:t>
      </w:r>
    </w:p>
    <w:p w:rsidR="00101D16" w:rsidRPr="00402BD9" w:rsidRDefault="00101D16" w:rsidP="00101D16">
      <w:pPr>
        <w:pStyle w:val="ListParagraph"/>
        <w:numPr>
          <w:ilvl w:val="0"/>
          <w:numId w:val="7"/>
        </w:numPr>
        <w:spacing w:after="120"/>
        <w:ind w:left="1440"/>
        <w:rPr>
          <w:rFonts w:eastAsia="Calibri" w:cstheme="minorHAnsi"/>
        </w:rPr>
      </w:pPr>
      <w:r>
        <w:rPr>
          <w:rFonts w:eastAsia="Calibri"/>
        </w:rPr>
        <w:t xml:space="preserve">Career </w:t>
      </w:r>
      <w:r w:rsidRPr="002E030A">
        <w:rPr>
          <w:rFonts w:eastAsia="Calibri"/>
        </w:rPr>
        <w:t xml:space="preserve">exploration in </w:t>
      </w:r>
      <w:r>
        <w:rPr>
          <w:rFonts w:eastAsia="Calibri"/>
        </w:rPr>
        <w:t>middle school (</w:t>
      </w:r>
      <w:r w:rsidRPr="002E030A">
        <w:rPr>
          <w:rFonts w:eastAsia="Calibri"/>
        </w:rPr>
        <w:t>grades 6-8</w:t>
      </w:r>
      <w:r>
        <w:rPr>
          <w:rFonts w:eastAsia="Calibri"/>
        </w:rPr>
        <w:t>)</w:t>
      </w:r>
      <w:r w:rsidRPr="002E030A">
        <w:rPr>
          <w:rFonts w:eastAsia="Calibri"/>
        </w:rPr>
        <w:t xml:space="preserve"> </w:t>
      </w:r>
      <w:r>
        <w:rPr>
          <w:rFonts w:eastAsia="Calibri"/>
        </w:rPr>
        <w:t>aligned to the</w:t>
      </w:r>
      <w:r w:rsidRPr="002E030A">
        <w:rPr>
          <w:rFonts w:eastAsia="Calibri" w:cstheme="minorHAnsi"/>
        </w:rPr>
        <w:t xml:space="preserve"> Clusters taught at the district high school, designated Agricultural Science and Technology Education (ASTE) program/center, and/or regional Connecticut Technical Education and Career System high school</w:t>
      </w:r>
      <w:proofErr w:type="gramStart"/>
      <w:r w:rsidRPr="002E030A">
        <w:rPr>
          <w:rFonts w:eastAsia="Calibri" w:cstheme="minorHAnsi"/>
        </w:rPr>
        <w:t>.</w:t>
      </w:r>
      <w:r>
        <w:rPr>
          <w:rFonts w:eastAsia="Calibri" w:cstheme="minorHAnsi"/>
        </w:rPr>
        <w:t xml:space="preserve"> </w:t>
      </w:r>
      <w:proofErr w:type="gramEnd"/>
      <w:r>
        <w:rPr>
          <w:rFonts w:eastAsia="Calibri" w:cstheme="minorHAnsi"/>
        </w:rPr>
        <w:t>Middle school requirements include:</w:t>
      </w:r>
    </w:p>
    <w:p w:rsidR="00101D16" w:rsidRDefault="00101D16" w:rsidP="00101D16">
      <w:pPr>
        <w:numPr>
          <w:ilvl w:val="1"/>
          <w:numId w:val="6"/>
        </w:numPr>
        <w:spacing w:after="120"/>
        <w:ind w:left="2160"/>
        <w:contextualSpacing/>
        <w:rPr>
          <w:rFonts w:eastAsia="Calibri"/>
        </w:rPr>
      </w:pPr>
      <w:r w:rsidRPr="00747171">
        <w:rPr>
          <w:rFonts w:eastAsia="Calibri"/>
        </w:rPr>
        <w:t>A</w:t>
      </w:r>
      <w:r>
        <w:rPr>
          <w:rFonts w:eastAsia="Calibri"/>
        </w:rPr>
        <w:t>n allocation not to exceed 1</w:t>
      </w:r>
      <w:r w:rsidRPr="00747171">
        <w:rPr>
          <w:rFonts w:eastAsia="Calibri"/>
        </w:rPr>
        <w:t xml:space="preserve">0% of the total District Perkins </w:t>
      </w:r>
      <w:r>
        <w:rPr>
          <w:rFonts w:eastAsia="Calibri"/>
        </w:rPr>
        <w:t>entitlement</w:t>
      </w:r>
      <w:r w:rsidRPr="00747171">
        <w:rPr>
          <w:rFonts w:eastAsia="Calibri"/>
        </w:rPr>
        <w:t xml:space="preserve"> or $3,000, whichever is greater.</w:t>
      </w:r>
    </w:p>
    <w:p w:rsidR="00101D16" w:rsidRPr="0023416F" w:rsidRDefault="00101D16" w:rsidP="00101D16">
      <w:pPr>
        <w:numPr>
          <w:ilvl w:val="1"/>
          <w:numId w:val="6"/>
        </w:numPr>
        <w:spacing w:after="120"/>
        <w:ind w:left="2160"/>
        <w:contextualSpacing/>
        <w:rPr>
          <w:rFonts w:eastAsia="Calibri"/>
        </w:rPr>
      </w:pPr>
      <w:r w:rsidRPr="0023416F">
        <w:rPr>
          <w:rFonts w:eastAsia="Calibri"/>
        </w:rPr>
        <w:t>Courses taught or co-taught by a CTE certified teacher.</w:t>
      </w:r>
    </w:p>
    <w:p w:rsidR="00101D16" w:rsidRPr="00747171" w:rsidRDefault="00101D16" w:rsidP="00101D16">
      <w:pPr>
        <w:ind w:left="720"/>
        <w:contextualSpacing/>
        <w:rPr>
          <w:rFonts w:eastAsia="Calibri"/>
        </w:rPr>
      </w:pPr>
    </w:p>
    <w:p w:rsidR="00101D16" w:rsidRPr="00747171" w:rsidRDefault="00101D16" w:rsidP="00101D16">
      <w:pPr>
        <w:shd w:val="clear" w:color="auto" w:fill="DEEAF6"/>
        <w:jc w:val="center"/>
        <w:rPr>
          <w:rFonts w:eastAsia="Calibri"/>
          <w:b/>
        </w:rPr>
      </w:pPr>
      <w:r w:rsidRPr="00747171">
        <w:rPr>
          <w:rFonts w:eastAsia="Calibri"/>
          <w:b/>
        </w:rPr>
        <w:t>Quality</w:t>
      </w:r>
    </w:p>
    <w:p w:rsidR="00101D16" w:rsidRPr="00747171" w:rsidRDefault="00101D16" w:rsidP="00101D16">
      <w:pPr>
        <w:numPr>
          <w:ilvl w:val="0"/>
          <w:numId w:val="3"/>
        </w:numPr>
        <w:rPr>
          <w:rFonts w:eastAsia="Calibri"/>
        </w:rPr>
      </w:pPr>
      <w:r w:rsidRPr="00747171">
        <w:rPr>
          <w:rFonts w:eastAsia="Calibri"/>
        </w:rPr>
        <w:t xml:space="preserve">Conduct biennial comprehensive </w:t>
      </w:r>
      <w:r>
        <w:rPr>
          <w:rFonts w:eastAsia="Calibri"/>
        </w:rPr>
        <w:t xml:space="preserve">local </w:t>
      </w:r>
      <w:r w:rsidRPr="00747171">
        <w:rPr>
          <w:rFonts w:eastAsia="Calibri"/>
        </w:rPr>
        <w:t xml:space="preserve">needs assessments with a diverse body of stakeholders as required by Perkins V. </w:t>
      </w:r>
    </w:p>
    <w:p w:rsidR="00101D16" w:rsidRPr="00747171" w:rsidRDefault="00101D16" w:rsidP="00101D16">
      <w:pPr>
        <w:numPr>
          <w:ilvl w:val="0"/>
          <w:numId w:val="3"/>
        </w:numPr>
        <w:rPr>
          <w:rFonts w:eastAsia="Calibri"/>
        </w:rPr>
      </w:pPr>
      <w:r>
        <w:rPr>
          <w:rFonts w:eastAsia="Calibri"/>
        </w:rPr>
        <w:t>Demonstrate the need for a CTE C</w:t>
      </w:r>
      <w:r w:rsidRPr="00747171">
        <w:rPr>
          <w:rFonts w:eastAsia="Calibri"/>
        </w:rPr>
        <w:t>luster, pathway, and program or program of study by presenting labor market data and economic development projections that indicate current or projected employment prospects in the program’s occupational area.</w:t>
      </w:r>
    </w:p>
    <w:p w:rsidR="00101D16" w:rsidRPr="0003360C" w:rsidRDefault="00101D16" w:rsidP="00101D16">
      <w:pPr>
        <w:numPr>
          <w:ilvl w:val="0"/>
          <w:numId w:val="3"/>
        </w:numPr>
        <w:spacing w:line="240" w:lineRule="auto"/>
        <w:rPr>
          <w:rFonts w:eastAsia="Calibri"/>
        </w:rPr>
      </w:pPr>
      <w:r w:rsidRPr="00747171">
        <w:rPr>
          <w:rFonts w:eastAsia="Calibri"/>
        </w:rPr>
        <w:t>Document CT</w:t>
      </w:r>
      <w:r>
        <w:rPr>
          <w:rFonts w:eastAsia="Calibri"/>
        </w:rPr>
        <w:t>E advisory committee meetings</w:t>
      </w:r>
      <w:proofErr w:type="gramStart"/>
      <w:r>
        <w:rPr>
          <w:rFonts w:eastAsia="Calibri"/>
        </w:rPr>
        <w:t xml:space="preserve">. </w:t>
      </w:r>
      <w:proofErr w:type="gramEnd"/>
      <w:r w:rsidRPr="00747171">
        <w:rPr>
          <w:rFonts w:eastAsia="Calibri"/>
        </w:rPr>
        <w:t>Committees must meet a minimum of twice per year and be comprised of a diverse body of stakeholders including business and industry partners.  Meeting minutes and attendance must be on file.</w:t>
      </w:r>
      <w:r w:rsidRPr="00747171">
        <w:t xml:space="preserve"> </w:t>
      </w:r>
    </w:p>
    <w:p w:rsidR="00101D16" w:rsidRDefault="00101D16" w:rsidP="00101D16">
      <w:pPr>
        <w:numPr>
          <w:ilvl w:val="0"/>
          <w:numId w:val="3"/>
        </w:numPr>
        <w:rPr>
          <w:rFonts w:eastAsia="Calibri"/>
        </w:rPr>
      </w:pPr>
      <w:r w:rsidRPr="00747171">
        <w:rPr>
          <w:rFonts w:eastAsia="Calibri"/>
        </w:rPr>
        <w:t>Meet at least 90% of the required level of performance for any of the core indicators.</w:t>
      </w:r>
    </w:p>
    <w:p w:rsidR="009C217E" w:rsidRPr="001676E3" w:rsidRDefault="00101D16" w:rsidP="001676E3">
      <w:pPr>
        <w:numPr>
          <w:ilvl w:val="0"/>
          <w:numId w:val="3"/>
        </w:numPr>
        <w:rPr>
          <w:rFonts w:eastAsia="Calibri"/>
        </w:rPr>
      </w:pPr>
      <w:r w:rsidRPr="00572B81">
        <w:rPr>
          <w:rFonts w:eastAsia="Calibri"/>
          <w:color w:val="000000"/>
        </w:rPr>
        <w:t>Provide professional learning opportunities for administrators, school counselors, and faculty to foster quality program of study design, implementation, and improvement.</w:t>
      </w:r>
      <w:r w:rsidRPr="00572B81">
        <w:t xml:space="preserve"> </w:t>
      </w:r>
      <w:bookmarkStart w:id="3" w:name="_GoBack"/>
      <w:bookmarkEnd w:id="3"/>
    </w:p>
    <w:sectPr w:rsidR="009C217E" w:rsidRPr="001676E3" w:rsidSect="00101D16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0DE7"/>
    <w:multiLevelType w:val="hybridMultilevel"/>
    <w:tmpl w:val="2940E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B5542"/>
    <w:multiLevelType w:val="hybridMultilevel"/>
    <w:tmpl w:val="98C8D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D2E35"/>
    <w:multiLevelType w:val="hybridMultilevel"/>
    <w:tmpl w:val="BA3E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63745"/>
    <w:multiLevelType w:val="hybridMultilevel"/>
    <w:tmpl w:val="43C8BB7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E879E1"/>
    <w:multiLevelType w:val="hybridMultilevel"/>
    <w:tmpl w:val="0770B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62637"/>
    <w:multiLevelType w:val="hybridMultilevel"/>
    <w:tmpl w:val="9BD2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C34BB"/>
    <w:multiLevelType w:val="hybridMultilevel"/>
    <w:tmpl w:val="D3285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D16"/>
    <w:rsid w:val="00101D16"/>
    <w:rsid w:val="001676E3"/>
    <w:rsid w:val="009C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DC39E"/>
  <w15:chartTrackingRefBased/>
  <w15:docId w15:val="{E12CF61D-90FF-4D3D-929F-8E8C4C86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Department of Education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Hickey, Melissa</dc:creator>
  <cp:keywords/>
  <dc:description/>
  <cp:lastModifiedBy>Hickey, Melissa</cp:lastModifiedBy>
  <cp:revision>1</cp:revision>
  <dcterms:created xsi:type="dcterms:W3CDTF">2020-08-03T21:54:00Z</dcterms:created>
  <dcterms:modified xsi:type="dcterms:W3CDTF">2020-08-03T22:00:00Z</dcterms:modified>
</cp:coreProperties>
</file>