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A544B3" w14:textId="0CE5B246" w:rsidR="001426E7" w:rsidRDefault="00DE554F" w:rsidP="001426E7">
      <w:pPr>
        <w:spacing w:line="240" w:lineRule="auto"/>
        <w:jc w:val="center"/>
        <w:rPr>
          <w:rFonts w:ascii="Times New Roman" w:hAnsi="Times New Roman" w:cs="Times New Roman"/>
          <w:sz w:val="24"/>
          <w:szCs w:val="24"/>
        </w:rPr>
      </w:pPr>
      <w:r w:rsidRPr="00522D50">
        <w:rPr>
          <w:noProof/>
        </w:rPr>
        <w:drawing>
          <wp:inline distT="0" distB="0" distL="0" distR="0" wp14:anchorId="7BDC36EC" wp14:editId="77D505B2">
            <wp:extent cx="1130385" cy="1059180"/>
            <wp:effectExtent l="0" t="0" r="0" b="7620"/>
            <wp:docPr id="3" name="Picture 3"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dezm\AppData\Local\Microsoft\Windows\Temporary Internet Files\Content.Outlook\84MUMHKU\OCCNoBarNB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2993" cy="1061624"/>
                    </a:xfrm>
                    <a:prstGeom prst="rect">
                      <a:avLst/>
                    </a:prstGeom>
                    <a:noFill/>
                    <a:ln>
                      <a:noFill/>
                    </a:ln>
                  </pic:spPr>
                </pic:pic>
              </a:graphicData>
            </a:graphic>
          </wp:inline>
        </w:drawing>
      </w:r>
    </w:p>
    <w:p w14:paraId="60498342" w14:textId="77777777"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14:paraId="7F3D5B1B" w14:textId="28EA5D8D" w:rsidR="001426E7" w:rsidRPr="001426E7" w:rsidRDefault="008A1A78" w:rsidP="001426E7">
      <w:pPr>
        <w:spacing w:line="240" w:lineRule="auto"/>
        <w:rPr>
          <w:rFonts w:ascii="Times New Roman" w:hAnsi="Times New Roman" w:cs="Times New Roman"/>
        </w:rPr>
      </w:pPr>
      <w:r>
        <w:rPr>
          <w:rFonts w:ascii="Times New Roman" w:hAnsi="Times New Roman" w:cs="Times New Roman"/>
        </w:rPr>
        <w:t>January 5</w:t>
      </w:r>
      <w:r w:rsidR="00C73FC7">
        <w:rPr>
          <w:rFonts w:ascii="Times New Roman" w:hAnsi="Times New Roman" w:cs="Times New Roman"/>
        </w:rPr>
        <w:t>, 20</w:t>
      </w:r>
      <w:r>
        <w:rPr>
          <w:rFonts w:ascii="Times New Roman" w:hAnsi="Times New Roman" w:cs="Times New Roman"/>
        </w:rPr>
        <w:t>21</w:t>
      </w:r>
    </w:p>
    <w:p w14:paraId="6FDD1CBB" w14:textId="77777777" w:rsidR="001426E7" w:rsidRPr="001426E7" w:rsidRDefault="001426E7" w:rsidP="001426E7">
      <w:pPr>
        <w:spacing w:line="240" w:lineRule="auto"/>
        <w:rPr>
          <w:rFonts w:ascii="Times New Roman" w:hAnsi="Times New Roman" w:cs="Times New Roman"/>
        </w:rPr>
      </w:pPr>
    </w:p>
    <w:p w14:paraId="10A430F1" w14:textId="3D10705D" w:rsidR="00AB2EED" w:rsidRPr="004468B2" w:rsidRDefault="00B06E50" w:rsidP="004468B2">
      <w:pPr>
        <w:spacing w:line="240" w:lineRule="auto"/>
        <w:jc w:val="center"/>
        <w:rPr>
          <w:rFonts w:ascii="Times New Roman" w:hAnsi="Times New Roman" w:cs="Times New Roman"/>
          <w:sz w:val="32"/>
          <w:szCs w:val="32"/>
        </w:rPr>
      </w:pPr>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9B2DA8">
        <w:rPr>
          <w:rFonts w:ascii="Times New Roman" w:hAnsi="Times New Roman" w:cs="Times New Roman"/>
          <w:b/>
          <w:sz w:val="32"/>
          <w:szCs w:val="32"/>
        </w:rPr>
        <w:t xml:space="preserve">, </w:t>
      </w:r>
      <w:r w:rsidR="00016D19">
        <w:rPr>
          <w:rFonts w:ascii="Times New Roman" w:hAnsi="Times New Roman" w:cs="Times New Roman"/>
          <w:b/>
          <w:sz w:val="32"/>
          <w:szCs w:val="32"/>
        </w:rPr>
        <w:t>SEPTEMBER</w:t>
      </w:r>
      <w:r w:rsidR="00287796">
        <w:rPr>
          <w:rFonts w:ascii="Times New Roman" w:hAnsi="Times New Roman" w:cs="Times New Roman"/>
          <w:b/>
          <w:sz w:val="32"/>
          <w:szCs w:val="32"/>
        </w:rPr>
        <w:t xml:space="preserve"> </w:t>
      </w:r>
      <w:r w:rsidR="00800769">
        <w:rPr>
          <w:rFonts w:ascii="Times New Roman" w:hAnsi="Times New Roman" w:cs="Times New Roman"/>
          <w:b/>
          <w:sz w:val="32"/>
          <w:szCs w:val="32"/>
        </w:rPr>
        <w:t>2019</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016D19">
        <w:rPr>
          <w:rFonts w:ascii="Times New Roman" w:hAnsi="Times New Roman" w:cs="Times New Roman"/>
          <w:b/>
          <w:sz w:val="32"/>
          <w:szCs w:val="32"/>
        </w:rPr>
        <w:t>AUGUST</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w:t>
      </w:r>
      <w:r w:rsidR="00492E63">
        <w:rPr>
          <w:rFonts w:ascii="Times New Roman" w:hAnsi="Times New Roman" w:cs="Times New Roman"/>
          <w:b/>
          <w:sz w:val="32"/>
          <w:szCs w:val="32"/>
        </w:rPr>
        <w:t>20</w:t>
      </w:r>
      <w:bookmarkStart w:id="0" w:name="_GoBack"/>
      <w:bookmarkEnd w:id="0"/>
    </w:p>
    <w:p w14:paraId="05F63C89" w14:textId="77777777" w:rsidR="00CB0C81" w:rsidRPr="001426E7" w:rsidRDefault="00CB0C81" w:rsidP="001426E7">
      <w:pPr>
        <w:spacing w:line="240" w:lineRule="auto"/>
        <w:rPr>
          <w:rFonts w:ascii="Times New Roman" w:hAnsi="Times New Roman" w:cs="Times New Roman"/>
        </w:rPr>
      </w:pPr>
    </w:p>
    <w:p w14:paraId="527D02F9" w14:textId="77777777"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9"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14:paraId="20E7F4EF" w14:textId="77777777" w:rsidR="00F31FC1" w:rsidRPr="00E45CF4" w:rsidRDefault="00F31FC1" w:rsidP="001426E7">
      <w:pPr>
        <w:spacing w:line="240" w:lineRule="auto"/>
        <w:rPr>
          <w:rFonts w:ascii="Times New Roman" w:hAnsi="Times New Roman" w:cs="Times New Roman"/>
          <w:sz w:val="24"/>
          <w:szCs w:val="24"/>
        </w:rPr>
      </w:pPr>
    </w:p>
    <w:p w14:paraId="7DAC2C91" w14:textId="77F74411"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016D19">
        <w:rPr>
          <w:rFonts w:ascii="Times New Roman" w:hAnsi="Times New Roman" w:cs="Times New Roman"/>
          <w:sz w:val="24"/>
          <w:szCs w:val="24"/>
        </w:rPr>
        <w:t>19.1</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F940AB">
        <w:rPr>
          <w:rFonts w:ascii="Times New Roman" w:hAnsi="Times New Roman" w:cs="Times New Roman"/>
          <w:sz w:val="24"/>
          <w:szCs w:val="24"/>
        </w:rPr>
        <w:t>2</w:t>
      </w:r>
      <w:r w:rsidR="006A20DC">
        <w:rPr>
          <w:rFonts w:ascii="Times New Roman" w:hAnsi="Times New Roman" w:cs="Times New Roman"/>
          <w:sz w:val="24"/>
          <w:szCs w:val="24"/>
        </w:rPr>
        <w:t>4.2</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016D19">
        <w:rPr>
          <w:rFonts w:ascii="Times New Roman" w:hAnsi="Times New Roman" w:cs="Times New Roman"/>
          <w:sz w:val="24"/>
          <w:szCs w:val="24"/>
        </w:rPr>
        <w:t>August</w:t>
      </w:r>
      <w:r w:rsidR="006A20DC">
        <w:rPr>
          <w:rFonts w:ascii="Times New Roman" w:hAnsi="Times New Roman" w:cs="Times New Roman"/>
          <w:sz w:val="24"/>
          <w:szCs w:val="24"/>
        </w:rPr>
        <w:t xml:space="preserve"> </w:t>
      </w:r>
      <w:r w:rsidR="00BD28AD">
        <w:rPr>
          <w:rFonts w:ascii="Times New Roman" w:hAnsi="Times New Roman" w:cs="Times New Roman"/>
          <w:sz w:val="24"/>
          <w:szCs w:val="24"/>
        </w:rPr>
        <w:t>2020</w:t>
      </w:r>
      <w:r w:rsidR="0010750F" w:rsidRPr="000254FB">
        <w:rPr>
          <w:rFonts w:ascii="Times New Roman" w:hAnsi="Times New Roman" w:cs="Times New Roman"/>
          <w:sz w:val="24"/>
          <w:szCs w:val="24"/>
        </w:rPr>
        <w:t>.</w:t>
      </w:r>
    </w:p>
    <w:p w14:paraId="5136BC46" w14:textId="77777777" w:rsidR="000437C4" w:rsidRPr="00E45CF4" w:rsidRDefault="000437C4" w:rsidP="000437C4">
      <w:pPr>
        <w:pStyle w:val="ListParagraph"/>
        <w:spacing w:line="240" w:lineRule="auto"/>
        <w:rPr>
          <w:rFonts w:ascii="Times New Roman" w:hAnsi="Times New Roman" w:cs="Times New Roman"/>
          <w:sz w:val="24"/>
          <w:szCs w:val="24"/>
        </w:rPr>
      </w:pPr>
    </w:p>
    <w:p w14:paraId="0AF37FED" w14:textId="147D895A" w:rsidR="003E20D9" w:rsidRDefault="000218D5" w:rsidP="003E20D9">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016D19">
        <w:rPr>
          <w:rFonts w:ascii="Times New Roman" w:hAnsi="Times New Roman" w:cs="Times New Roman"/>
          <w:sz w:val="24"/>
          <w:szCs w:val="24"/>
        </w:rPr>
        <w:t>August</w:t>
      </w:r>
      <w:r w:rsidR="00BD28AD">
        <w:rPr>
          <w:rFonts w:ascii="Times New Roman" w:hAnsi="Times New Roman" w:cs="Times New Roman"/>
          <w:sz w:val="24"/>
          <w:szCs w:val="24"/>
        </w:rPr>
        <w:t xml:space="preserve"> 2020</w:t>
      </w:r>
      <w:r w:rsidR="00973CFE">
        <w:rPr>
          <w:rFonts w:ascii="Times New Roman" w:hAnsi="Times New Roman" w:cs="Times New Roman"/>
          <w:sz w:val="24"/>
          <w:szCs w:val="24"/>
        </w:rPr>
        <w:t>,</w:t>
      </w:r>
      <w:r w:rsidR="00BD28AD">
        <w:rPr>
          <w:rFonts w:ascii="Times New Roman" w:hAnsi="Times New Roman" w:cs="Times New Roman"/>
          <w:sz w:val="24"/>
          <w:szCs w:val="24"/>
        </w:rPr>
        <w:t xml:space="preserve"> </w:t>
      </w:r>
      <w:r w:rsidR="006A20DC">
        <w:rPr>
          <w:rFonts w:ascii="Times New Roman" w:hAnsi="Times New Roman" w:cs="Times New Roman"/>
          <w:sz w:val="24"/>
          <w:szCs w:val="24"/>
        </w:rPr>
        <w:t>nearly</w:t>
      </w:r>
      <w:r w:rsidR="003C4093">
        <w:rPr>
          <w:rFonts w:ascii="Times New Roman" w:hAnsi="Times New Roman" w:cs="Times New Roman"/>
          <w:b/>
          <w:sz w:val="24"/>
          <w:szCs w:val="24"/>
        </w:rPr>
        <w:t xml:space="preserve"> </w:t>
      </w:r>
      <w:r w:rsidR="006A20DC">
        <w:rPr>
          <w:rFonts w:ascii="Times New Roman" w:hAnsi="Times New Roman" w:cs="Times New Roman"/>
          <w:b/>
          <w:sz w:val="24"/>
          <w:szCs w:val="24"/>
        </w:rPr>
        <w:t>nine</w:t>
      </w:r>
      <w:r w:rsidR="00BD28AD">
        <w:rPr>
          <w:rFonts w:ascii="Times New Roman" w:hAnsi="Times New Roman" w:cs="Times New Roman"/>
          <w:b/>
          <w:sz w:val="24"/>
          <w:szCs w:val="24"/>
        </w:rPr>
        <w:t xml:space="preserve">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D0571E">
        <w:rPr>
          <w:rFonts w:ascii="Times New Roman" w:hAnsi="Times New Roman" w:cs="Times New Roman"/>
          <w:b/>
          <w:sz w:val="24"/>
          <w:szCs w:val="24"/>
        </w:rPr>
        <w:t xml:space="preserve"> </w:t>
      </w:r>
      <w:r w:rsidR="006A20DC">
        <w:rPr>
          <w:rFonts w:ascii="Times New Roman" w:hAnsi="Times New Roman" w:cs="Times New Roman"/>
          <w:b/>
          <w:sz w:val="24"/>
          <w:szCs w:val="24"/>
        </w:rPr>
        <w:t>seven</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14:paraId="2F0AECDB" w14:textId="2114BA56" w:rsidR="003E20D9" w:rsidRPr="003E20D9" w:rsidRDefault="003E20D9" w:rsidP="003E20D9">
      <w:pPr>
        <w:spacing w:line="240" w:lineRule="auto"/>
        <w:rPr>
          <w:rFonts w:ascii="Times New Roman" w:hAnsi="Times New Roman" w:cs="Times New Roman"/>
          <w:sz w:val="24"/>
          <w:szCs w:val="24"/>
        </w:rPr>
      </w:pPr>
    </w:p>
    <w:p w14:paraId="4E4E8E7C" w14:textId="1331B454" w:rsidR="009D331F" w:rsidRPr="00DC6936" w:rsidRDefault="009D331F" w:rsidP="00DC6936">
      <w:pPr>
        <w:rPr>
          <w:rFonts w:ascii="Times New Roman" w:hAnsi="Times New Roman" w:cs="Times New Roman"/>
          <w:sz w:val="24"/>
          <w:szCs w:val="24"/>
        </w:rPr>
      </w:pPr>
      <w:r w:rsidRPr="00DC6936">
        <w:rPr>
          <w:rFonts w:ascii="Times New Roman" w:hAnsi="Times New Roman" w:cs="Times New Roman"/>
          <w:sz w:val="24"/>
          <w:szCs w:val="24"/>
        </w:rPr>
        <w:t xml:space="preserve">   </w:t>
      </w:r>
      <w:r w:rsidR="00016D19">
        <w:rPr>
          <w:rFonts w:ascii="Times New Roman" w:hAnsi="Times New Roman" w:cs="Times New Roman"/>
          <w:noProof/>
          <w:sz w:val="24"/>
          <w:szCs w:val="24"/>
        </w:rPr>
        <w:drawing>
          <wp:inline distT="0" distB="0" distL="0" distR="0" wp14:anchorId="78C17366" wp14:editId="7648A418">
            <wp:extent cx="2653323" cy="1820848"/>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11071" cy="1860478"/>
                    </a:xfrm>
                    <a:prstGeom prst="rect">
                      <a:avLst/>
                    </a:prstGeom>
                    <a:noFill/>
                  </pic:spPr>
                </pic:pic>
              </a:graphicData>
            </a:graphic>
          </wp:inline>
        </w:drawing>
      </w:r>
      <w:r w:rsidRPr="00DC6936">
        <w:rPr>
          <w:rFonts w:ascii="Times New Roman" w:hAnsi="Times New Roman" w:cs="Times New Roman"/>
          <w:sz w:val="24"/>
          <w:szCs w:val="24"/>
        </w:rPr>
        <w:t xml:space="preserve">  </w:t>
      </w:r>
      <w:r w:rsidR="003E20D9">
        <w:rPr>
          <w:rFonts w:ascii="Times New Roman" w:hAnsi="Times New Roman" w:cs="Times New Roman"/>
          <w:noProof/>
          <w:sz w:val="24"/>
          <w:szCs w:val="24"/>
        </w:rPr>
        <w:drawing>
          <wp:inline distT="0" distB="0" distL="0" distR="0" wp14:anchorId="25D92A04" wp14:editId="10DDB54E">
            <wp:extent cx="2623930" cy="1814059"/>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4330" cy="1835076"/>
                    </a:xfrm>
                    <a:prstGeom prst="rect">
                      <a:avLst/>
                    </a:prstGeom>
                    <a:noFill/>
                  </pic:spPr>
                </pic:pic>
              </a:graphicData>
            </a:graphic>
          </wp:inline>
        </w:drawing>
      </w:r>
    </w:p>
    <w:p w14:paraId="36BD0629" w14:textId="1D6C5292" w:rsidR="000437C4" w:rsidRDefault="0010750F" w:rsidP="00FF56EB">
      <w:pPr>
        <w:pStyle w:val="BodyText2"/>
        <w:numPr>
          <w:ilvl w:val="0"/>
          <w:numId w:val="1"/>
        </w:numPr>
        <w:spacing w:line="240" w:lineRule="auto"/>
      </w:pPr>
      <w:r w:rsidRPr="00E45CF4">
        <w:t xml:space="preserve">In the month </w:t>
      </w:r>
      <w:r w:rsidR="003E20D9">
        <w:t>August</w:t>
      </w:r>
      <w:r w:rsidR="00432AA5">
        <w:t xml:space="preserve"> 2020</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6A20DC">
        <w:rPr>
          <w:b/>
        </w:rPr>
        <w:t>3,</w:t>
      </w:r>
      <w:r w:rsidR="003E20D9">
        <w:rPr>
          <w:b/>
        </w:rPr>
        <w:t>746,865</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 xml:space="preserve">uppliers </w:t>
      </w:r>
      <w:r w:rsidR="00A3559A">
        <w:t xml:space="preserve">paid </w:t>
      </w:r>
      <w:r w:rsidR="000301D8" w:rsidRPr="00E45CF4">
        <w:t xml:space="preserve">in aggregate </w:t>
      </w:r>
      <w:r w:rsidR="00FF56EB" w:rsidRPr="00FF56EB">
        <w:rPr>
          <w:b/>
        </w:rPr>
        <w:t>$</w:t>
      </w:r>
      <w:r w:rsidR="003E20D9">
        <w:rPr>
          <w:b/>
        </w:rPr>
        <w:t>825,038</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14:paraId="0CA227F1" w14:textId="3097037C" w:rsidR="00FF56EB" w:rsidRPr="00E45CF4" w:rsidRDefault="00893E99" w:rsidP="00FF56EB">
      <w:pPr>
        <w:pStyle w:val="BodyText2"/>
        <w:numPr>
          <w:ilvl w:val="0"/>
          <w:numId w:val="1"/>
        </w:numPr>
        <w:spacing w:line="240" w:lineRule="auto"/>
      </w:pPr>
      <w:r>
        <w:t>For the rolling year</w:t>
      </w:r>
      <w:r w:rsidR="00FF56EB">
        <w:t xml:space="preserve"> of </w:t>
      </w:r>
      <w:r w:rsidR="003E20D9">
        <w:t>September</w:t>
      </w:r>
      <w:r w:rsidR="00784939">
        <w:t xml:space="preserve"> 2019</w:t>
      </w:r>
      <w:r w:rsidR="00A40E13">
        <w:t xml:space="preserve"> </w:t>
      </w:r>
      <w:r w:rsidR="00D8760E">
        <w:t xml:space="preserve">through </w:t>
      </w:r>
      <w:r w:rsidR="003E20D9">
        <w:t>August</w:t>
      </w:r>
      <w:r w:rsidR="005232C8">
        <w:t xml:space="preserve"> </w:t>
      </w:r>
      <w:r w:rsidR="00432AA5">
        <w:t>2020</w:t>
      </w:r>
      <w:r w:rsidR="00E96F35">
        <w:t xml:space="preserve">, </w:t>
      </w:r>
      <w:r w:rsidR="00FF56EB">
        <w:t>residential consumers who chose a reta</w:t>
      </w:r>
      <w:r w:rsidR="00E96F35">
        <w:t xml:space="preserve">il supplier paid, in aggregate, </w:t>
      </w:r>
      <w:r w:rsidR="00FF56EB" w:rsidRPr="00FF56EB">
        <w:rPr>
          <w:b/>
        </w:rPr>
        <w:t>$</w:t>
      </w:r>
      <w:r w:rsidR="003E20D9">
        <w:rPr>
          <w:b/>
        </w:rPr>
        <w:t>39,552,852</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14:paraId="43E3023F" w14:textId="70B5B182" w:rsidR="001071BD" w:rsidRDefault="00C63F72" w:rsidP="00BF48D0">
      <w:pPr>
        <w:pStyle w:val="BodyText2"/>
        <w:numPr>
          <w:ilvl w:val="0"/>
          <w:numId w:val="1"/>
        </w:numPr>
        <w:spacing w:line="240" w:lineRule="auto"/>
      </w:pPr>
      <w:r>
        <w:t>The Standard Offe</w:t>
      </w:r>
      <w:r w:rsidR="00784939">
        <w:t>r for Eversource customers from</w:t>
      </w:r>
      <w:r w:rsidR="00294FB0">
        <w:t xml:space="preserve"> </w:t>
      </w:r>
      <w:r w:rsidR="006A20DC">
        <w:t xml:space="preserve">From July 1, 2019 through December </w:t>
      </w:r>
      <w:r w:rsidR="006A20DC">
        <w:lastRenderedPageBreak/>
        <w:t>31, 2019</w:t>
      </w:r>
      <w:r w:rsidR="00784939">
        <w:t xml:space="preserve"> was </w:t>
      </w:r>
      <w:r w:rsidR="006A20DC">
        <w:t xml:space="preserve">8.123 </w:t>
      </w:r>
      <w:r w:rsidR="00294FB0">
        <w:t>cents/kWh</w:t>
      </w:r>
      <w:r w:rsidR="00A3559A">
        <w:t xml:space="preserve">  </w:t>
      </w:r>
      <w:r w:rsidR="00432AA5">
        <w:t xml:space="preserve">The Standard Offer for Eversource customers from January </w:t>
      </w:r>
      <w:r w:rsidR="006A20DC">
        <w:t>1, 2020 through June 30, 2020 was</w:t>
      </w:r>
      <w:r w:rsidR="00432AA5">
        <w:t xml:space="preserve"> 9.414 cents/kWh.</w:t>
      </w:r>
      <w:r w:rsidR="006A20DC">
        <w:t xml:space="preserve">  For July 1, 2020 through December 31, 2020 the Standard Offer is 7.375 cents/kWh</w:t>
      </w:r>
    </w:p>
    <w:p w14:paraId="110F504B" w14:textId="0517FFA6" w:rsidR="006A20DC" w:rsidRDefault="006A20DC" w:rsidP="006A20DC">
      <w:pPr>
        <w:pStyle w:val="BodyText2"/>
        <w:numPr>
          <w:ilvl w:val="0"/>
          <w:numId w:val="1"/>
        </w:numPr>
        <w:spacing w:line="240" w:lineRule="auto"/>
      </w:pPr>
      <w:r>
        <w:t>The Standard Offer for UI customers from From July 1, 2019 through December 31, 2019 was 8.3532 cents/kWh  The Standard Offer for UI customers from January 1, 2020 through June 30, 2020 was 10.5607 cents/kWh.  For July 1, 2020 through December 31, 2020 the Standard Offer is 8.6672 cents/kWh.</w:t>
      </w:r>
    </w:p>
    <w:p w14:paraId="04B73164" w14:textId="6DCAE293" w:rsidR="006A20DC" w:rsidRDefault="006A20DC" w:rsidP="006A20DC">
      <w:pPr>
        <w:pStyle w:val="BodyText2"/>
        <w:numPr>
          <w:ilvl w:val="0"/>
          <w:numId w:val="1"/>
        </w:numPr>
        <w:spacing w:line="240" w:lineRule="auto"/>
      </w:pPr>
      <w:r>
        <w:t>As of July 1, 2020 customers coded as hardship were returned to standard service.  Suppliers are no longer able to serve hardship coded customers going forward in Connecticut as a result of PURA ruling in Docket No. 18-06-02</w:t>
      </w:r>
      <w:r w:rsidR="00AF2C66">
        <w:t>.</w:t>
      </w:r>
    </w:p>
    <w:p w14:paraId="1B631325" w14:textId="42E24217" w:rsidR="00AF2C66" w:rsidRDefault="00AF2C66" w:rsidP="00DE554F">
      <w:pPr>
        <w:pStyle w:val="BodyText2"/>
        <w:spacing w:after="0" w:line="240" w:lineRule="auto"/>
      </w:pPr>
    </w:p>
    <w:tbl>
      <w:tblPr>
        <w:tblStyle w:val="TableGrid"/>
        <w:tblW w:w="8871" w:type="dxa"/>
        <w:tblInd w:w="720" w:type="dxa"/>
        <w:tblLook w:val="04A0" w:firstRow="1" w:lastRow="0" w:firstColumn="1" w:lastColumn="0" w:noHBand="0" w:noVBand="1"/>
      </w:tblPr>
      <w:tblGrid>
        <w:gridCol w:w="3888"/>
        <w:gridCol w:w="1710"/>
        <w:gridCol w:w="1543"/>
        <w:gridCol w:w="1730"/>
      </w:tblGrid>
      <w:tr w:rsidR="00AF2C66" w14:paraId="66C8F605" w14:textId="77777777" w:rsidTr="005D6AA8">
        <w:trPr>
          <w:trHeight w:val="394"/>
        </w:trPr>
        <w:tc>
          <w:tcPr>
            <w:tcW w:w="8871" w:type="dxa"/>
            <w:gridSpan w:val="4"/>
          </w:tcPr>
          <w:p w14:paraId="5F3A9DEA" w14:textId="2651A8E0" w:rsidR="00AF2C66" w:rsidRPr="007A2A0C" w:rsidRDefault="00AF2C66" w:rsidP="005D6AA8">
            <w:pPr>
              <w:pStyle w:val="BodyText2"/>
              <w:jc w:val="center"/>
              <w:rPr>
                <w:b/>
              </w:rPr>
            </w:pPr>
            <w:r w:rsidRPr="007A2A0C">
              <w:rPr>
                <w:b/>
              </w:rPr>
              <w:t>Suppliers Charging at L</w:t>
            </w:r>
            <w:r>
              <w:rPr>
                <w:b/>
              </w:rPr>
              <w:t xml:space="preserve">east 20% of their Customers 50% </w:t>
            </w:r>
            <w:r w:rsidRPr="007A2A0C">
              <w:rPr>
                <w:b/>
              </w:rPr>
              <w:t>or more</w:t>
            </w:r>
            <w:r w:rsidR="003E20D9">
              <w:rPr>
                <w:b/>
              </w:rPr>
              <w:t xml:space="preserve"> than Standard Offer in August</w:t>
            </w:r>
          </w:p>
        </w:tc>
      </w:tr>
      <w:tr w:rsidR="00AF2C66" w14:paraId="228CA530" w14:textId="77777777" w:rsidTr="005D6AA8">
        <w:trPr>
          <w:trHeight w:val="954"/>
        </w:trPr>
        <w:tc>
          <w:tcPr>
            <w:tcW w:w="3888" w:type="dxa"/>
          </w:tcPr>
          <w:p w14:paraId="4692F9C1" w14:textId="77777777" w:rsidR="00AF2C66" w:rsidRDefault="00AF2C66" w:rsidP="005D6AA8">
            <w:pPr>
              <w:pStyle w:val="BodyText2"/>
            </w:pPr>
            <w:r>
              <w:t>Electric Suppliers</w:t>
            </w:r>
          </w:p>
        </w:tc>
        <w:tc>
          <w:tcPr>
            <w:tcW w:w="1710" w:type="dxa"/>
          </w:tcPr>
          <w:p w14:paraId="0F843616" w14:textId="06AA03D2" w:rsidR="00AF2C66" w:rsidRDefault="00AF2C66" w:rsidP="005D6AA8">
            <w:pPr>
              <w:pStyle w:val="BodyText2"/>
            </w:pPr>
            <w:r>
              <w:t>% of Eversource Customers paying over 11.0625 cents</w:t>
            </w:r>
          </w:p>
        </w:tc>
        <w:tc>
          <w:tcPr>
            <w:tcW w:w="1543" w:type="dxa"/>
          </w:tcPr>
          <w:p w14:paraId="5E1B9CB8" w14:textId="09678CFF" w:rsidR="00AF2C66" w:rsidRDefault="00AF2C66" w:rsidP="005D6AA8">
            <w:pPr>
              <w:pStyle w:val="BodyText2"/>
            </w:pPr>
            <w:r>
              <w:t>% of UI Customers paying over 13.000 cents</w:t>
            </w:r>
          </w:p>
        </w:tc>
        <w:tc>
          <w:tcPr>
            <w:tcW w:w="1730" w:type="dxa"/>
          </w:tcPr>
          <w:p w14:paraId="6458178F" w14:textId="77777777" w:rsidR="00AF2C66" w:rsidRDefault="00AF2C66" w:rsidP="005D6AA8">
            <w:pPr>
              <w:pStyle w:val="BodyText2"/>
            </w:pPr>
            <w:r>
              <w:t>Supplier Phone Number</w:t>
            </w:r>
          </w:p>
        </w:tc>
      </w:tr>
      <w:tr w:rsidR="00AF2C66" w14:paraId="1D2F5F19" w14:textId="77777777" w:rsidTr="005D6AA8">
        <w:trPr>
          <w:trHeight w:val="394"/>
        </w:trPr>
        <w:tc>
          <w:tcPr>
            <w:tcW w:w="3888" w:type="dxa"/>
          </w:tcPr>
          <w:p w14:paraId="08A9ECEC" w14:textId="77777777" w:rsidR="00AF2C66" w:rsidRDefault="00AF2C66" w:rsidP="005D6AA8">
            <w:pPr>
              <w:pStyle w:val="BodyText2"/>
            </w:pPr>
            <w:r>
              <w:t>Choice Energy</w:t>
            </w:r>
          </w:p>
        </w:tc>
        <w:tc>
          <w:tcPr>
            <w:tcW w:w="1710" w:type="dxa"/>
          </w:tcPr>
          <w:p w14:paraId="79F2BBF9" w14:textId="49E71CEA" w:rsidR="00AF2C66" w:rsidRDefault="00011D1E" w:rsidP="005D6AA8">
            <w:pPr>
              <w:pStyle w:val="BodyText2"/>
            </w:pPr>
            <w:r>
              <w:t>99.77</w:t>
            </w:r>
            <w:r w:rsidR="00AF2C66">
              <w:t>%</w:t>
            </w:r>
          </w:p>
        </w:tc>
        <w:tc>
          <w:tcPr>
            <w:tcW w:w="1543" w:type="dxa"/>
          </w:tcPr>
          <w:p w14:paraId="70224008" w14:textId="396958BD" w:rsidR="00AF2C66" w:rsidRPr="0097606F" w:rsidRDefault="00292EC0" w:rsidP="005D6AA8">
            <w:pPr>
              <w:pStyle w:val="BodyText2"/>
            </w:pPr>
            <w:r>
              <w:t>42.47</w:t>
            </w:r>
            <w:r w:rsidR="00AF2C66" w:rsidRPr="0097606F">
              <w:t>%</w:t>
            </w:r>
          </w:p>
        </w:tc>
        <w:tc>
          <w:tcPr>
            <w:tcW w:w="1730" w:type="dxa"/>
            <w:shd w:val="clear" w:color="auto" w:fill="auto"/>
          </w:tcPr>
          <w:p w14:paraId="6CFF676B" w14:textId="77777777" w:rsidR="00AF2C66" w:rsidRPr="00763768" w:rsidRDefault="00AF2C66" w:rsidP="005D6AA8">
            <w:pPr>
              <w:pStyle w:val="BodyText2"/>
            </w:pPr>
            <w:r w:rsidRPr="00763768">
              <w:rPr>
                <w:shd w:val="clear" w:color="auto" w:fill="F2F2F2"/>
              </w:rPr>
              <w:t>(888) 565-4490</w:t>
            </w:r>
          </w:p>
        </w:tc>
      </w:tr>
      <w:tr w:rsidR="00AF2C66" w14:paraId="4A3A0829" w14:textId="77777777" w:rsidTr="005D6AA8">
        <w:trPr>
          <w:trHeight w:val="394"/>
        </w:trPr>
        <w:tc>
          <w:tcPr>
            <w:tcW w:w="3888" w:type="dxa"/>
          </w:tcPr>
          <w:p w14:paraId="3D5FF2DC" w14:textId="77777777" w:rsidR="00AF2C66" w:rsidRDefault="00AF2C66" w:rsidP="005D6AA8">
            <w:pPr>
              <w:pStyle w:val="BodyText2"/>
            </w:pPr>
            <w:r>
              <w:t>Energy Plus Holdings, LLC</w:t>
            </w:r>
          </w:p>
        </w:tc>
        <w:tc>
          <w:tcPr>
            <w:tcW w:w="1710" w:type="dxa"/>
          </w:tcPr>
          <w:p w14:paraId="24F4C547" w14:textId="7424DF3D" w:rsidR="00AF2C66" w:rsidRDefault="003E20D9" w:rsidP="005D6AA8">
            <w:pPr>
              <w:pStyle w:val="BodyText2"/>
            </w:pPr>
            <w:r>
              <w:t>92.85</w:t>
            </w:r>
            <w:r w:rsidR="00AF2C66">
              <w:t>%</w:t>
            </w:r>
          </w:p>
        </w:tc>
        <w:tc>
          <w:tcPr>
            <w:tcW w:w="1543" w:type="dxa"/>
          </w:tcPr>
          <w:p w14:paraId="5D410916" w14:textId="577FA2AE" w:rsidR="00AF2C66" w:rsidRPr="0097606F" w:rsidRDefault="00292EC0" w:rsidP="005D6AA8">
            <w:pPr>
              <w:pStyle w:val="BodyText2"/>
            </w:pPr>
            <w:r>
              <w:t>86.29</w:t>
            </w:r>
            <w:r w:rsidR="00AF2C66" w:rsidRPr="0097606F">
              <w:t>%</w:t>
            </w:r>
          </w:p>
        </w:tc>
        <w:tc>
          <w:tcPr>
            <w:tcW w:w="1730" w:type="dxa"/>
            <w:shd w:val="clear" w:color="auto" w:fill="auto"/>
          </w:tcPr>
          <w:p w14:paraId="23067818" w14:textId="77777777" w:rsidR="00AF2C66" w:rsidRPr="00763768" w:rsidRDefault="00AF2C66" w:rsidP="005D6AA8">
            <w:pPr>
              <w:pStyle w:val="BodyText2"/>
            </w:pPr>
            <w:r w:rsidRPr="00763768">
              <w:rPr>
                <w:shd w:val="clear" w:color="auto" w:fill="FFFFFF"/>
              </w:rPr>
              <w:t>(888) 766-3509</w:t>
            </w:r>
          </w:p>
        </w:tc>
      </w:tr>
      <w:tr w:rsidR="00AF2C66" w14:paraId="24426263" w14:textId="77777777" w:rsidTr="005D6AA8">
        <w:trPr>
          <w:trHeight w:val="394"/>
        </w:trPr>
        <w:tc>
          <w:tcPr>
            <w:tcW w:w="3888" w:type="dxa"/>
          </w:tcPr>
          <w:p w14:paraId="2F57E5C3" w14:textId="77777777" w:rsidR="00AF2C66" w:rsidRDefault="00AF2C66" w:rsidP="005D6AA8">
            <w:pPr>
              <w:pStyle w:val="BodyText2"/>
            </w:pPr>
            <w:r>
              <w:t>North American Power and Gas LLC</w:t>
            </w:r>
          </w:p>
        </w:tc>
        <w:tc>
          <w:tcPr>
            <w:tcW w:w="1710" w:type="dxa"/>
          </w:tcPr>
          <w:p w14:paraId="5A162DA6" w14:textId="30701CB7" w:rsidR="00AF2C66" w:rsidRDefault="003E20D9" w:rsidP="005D6AA8">
            <w:pPr>
              <w:pStyle w:val="BodyText2"/>
            </w:pPr>
            <w:r>
              <w:t>42.96</w:t>
            </w:r>
            <w:r w:rsidR="00AF2C66">
              <w:t>%</w:t>
            </w:r>
          </w:p>
        </w:tc>
        <w:tc>
          <w:tcPr>
            <w:tcW w:w="1543" w:type="dxa"/>
          </w:tcPr>
          <w:p w14:paraId="1FE221E8" w14:textId="1D467F4B" w:rsidR="00AF2C66" w:rsidRPr="0097606F" w:rsidRDefault="00292EC0" w:rsidP="005D6AA8">
            <w:pPr>
              <w:pStyle w:val="BodyText2"/>
            </w:pPr>
            <w:r>
              <w:t>36.90</w:t>
            </w:r>
            <w:r w:rsidR="00AF2C66" w:rsidRPr="0097606F">
              <w:t>%</w:t>
            </w:r>
          </w:p>
        </w:tc>
        <w:tc>
          <w:tcPr>
            <w:tcW w:w="1730" w:type="dxa"/>
            <w:shd w:val="clear" w:color="auto" w:fill="auto"/>
          </w:tcPr>
          <w:p w14:paraId="413B8AA3" w14:textId="77777777" w:rsidR="00AF2C66" w:rsidRPr="00763768" w:rsidRDefault="00AF2C66" w:rsidP="005D6AA8">
            <w:pPr>
              <w:pStyle w:val="BodyText2"/>
              <w:rPr>
                <w:shd w:val="clear" w:color="auto" w:fill="FFFFFF"/>
              </w:rPr>
            </w:pPr>
            <w:r w:rsidRPr="00763768">
              <w:rPr>
                <w:shd w:val="clear" w:color="auto" w:fill="FFFFFF"/>
              </w:rPr>
              <w:t>(877) 572-0442</w:t>
            </w:r>
          </w:p>
        </w:tc>
      </w:tr>
      <w:tr w:rsidR="00AF2C66" w14:paraId="7DF43C4A" w14:textId="77777777" w:rsidTr="005D6AA8">
        <w:trPr>
          <w:trHeight w:val="394"/>
        </w:trPr>
        <w:tc>
          <w:tcPr>
            <w:tcW w:w="3888" w:type="dxa"/>
          </w:tcPr>
          <w:p w14:paraId="21C53B45" w14:textId="77777777" w:rsidR="00AF2C66" w:rsidRDefault="00AF2C66" w:rsidP="005D6AA8">
            <w:pPr>
              <w:pStyle w:val="BodyText2"/>
            </w:pPr>
            <w:r>
              <w:t>Ambit Energy LLC</w:t>
            </w:r>
          </w:p>
        </w:tc>
        <w:tc>
          <w:tcPr>
            <w:tcW w:w="1710" w:type="dxa"/>
          </w:tcPr>
          <w:p w14:paraId="267F8E99" w14:textId="1960C2DE" w:rsidR="00AF2C66" w:rsidRDefault="003E20D9" w:rsidP="005D6AA8">
            <w:pPr>
              <w:pStyle w:val="BodyText2"/>
            </w:pPr>
            <w:r>
              <w:t>24.05</w:t>
            </w:r>
            <w:r w:rsidR="00AF2C66">
              <w:t>%</w:t>
            </w:r>
          </w:p>
        </w:tc>
        <w:tc>
          <w:tcPr>
            <w:tcW w:w="1543" w:type="dxa"/>
          </w:tcPr>
          <w:p w14:paraId="068E56D5" w14:textId="62A76EE1" w:rsidR="00AF2C66" w:rsidRPr="0097606F" w:rsidRDefault="00292EC0" w:rsidP="005D6AA8">
            <w:pPr>
              <w:pStyle w:val="BodyText2"/>
            </w:pPr>
            <w:r>
              <w:t>46.45</w:t>
            </w:r>
            <w:r w:rsidR="00AF2C66" w:rsidRPr="0097606F">
              <w:t>%</w:t>
            </w:r>
          </w:p>
        </w:tc>
        <w:tc>
          <w:tcPr>
            <w:tcW w:w="1730" w:type="dxa"/>
            <w:shd w:val="clear" w:color="auto" w:fill="auto"/>
          </w:tcPr>
          <w:p w14:paraId="1DA5D54A" w14:textId="77777777" w:rsidR="00AF2C66" w:rsidRPr="00763768" w:rsidRDefault="00AF2C66" w:rsidP="005D6AA8">
            <w:pPr>
              <w:pStyle w:val="BodyText2"/>
              <w:rPr>
                <w:shd w:val="clear" w:color="auto" w:fill="FFFFFF"/>
              </w:rPr>
            </w:pPr>
            <w:r w:rsidRPr="00763768">
              <w:rPr>
                <w:shd w:val="clear" w:color="auto" w:fill="FFFFFF"/>
              </w:rPr>
              <w:t>(877) 282-6248</w:t>
            </w:r>
          </w:p>
        </w:tc>
      </w:tr>
      <w:tr w:rsidR="00AF2C66" w14:paraId="071479C7" w14:textId="77777777" w:rsidTr="005D6AA8">
        <w:trPr>
          <w:trHeight w:val="394"/>
        </w:trPr>
        <w:tc>
          <w:tcPr>
            <w:tcW w:w="3888" w:type="dxa"/>
          </w:tcPr>
          <w:p w14:paraId="1DB9DCDE" w14:textId="77777777" w:rsidR="00AF2C66" w:rsidRDefault="00AF2C66" w:rsidP="005D6AA8">
            <w:pPr>
              <w:pStyle w:val="BodyText2"/>
            </w:pPr>
            <w:r>
              <w:t>Liberty Power Holdings LLC</w:t>
            </w:r>
          </w:p>
        </w:tc>
        <w:tc>
          <w:tcPr>
            <w:tcW w:w="1710" w:type="dxa"/>
          </w:tcPr>
          <w:p w14:paraId="7E5AFF65" w14:textId="50DBB781" w:rsidR="00AF2C66" w:rsidRDefault="003E20D9" w:rsidP="005D6AA8">
            <w:pPr>
              <w:pStyle w:val="BodyText2"/>
            </w:pPr>
            <w:r>
              <w:t>23.19</w:t>
            </w:r>
            <w:r w:rsidR="00AF2C66">
              <w:t>%</w:t>
            </w:r>
          </w:p>
        </w:tc>
        <w:tc>
          <w:tcPr>
            <w:tcW w:w="1543" w:type="dxa"/>
          </w:tcPr>
          <w:p w14:paraId="0404C23A" w14:textId="77777777" w:rsidR="00AF2C66" w:rsidRPr="0097606F" w:rsidRDefault="00AF2C66" w:rsidP="005D6AA8">
            <w:pPr>
              <w:pStyle w:val="BodyText2"/>
            </w:pPr>
            <w:r w:rsidRPr="0097606F">
              <w:t>N/A</w:t>
            </w:r>
          </w:p>
        </w:tc>
        <w:tc>
          <w:tcPr>
            <w:tcW w:w="1730" w:type="dxa"/>
            <w:shd w:val="clear" w:color="auto" w:fill="auto"/>
          </w:tcPr>
          <w:p w14:paraId="459BDA5A" w14:textId="77777777" w:rsidR="00AF2C66" w:rsidRPr="00763768" w:rsidRDefault="00AF2C66" w:rsidP="005D6AA8">
            <w:pPr>
              <w:pStyle w:val="BodyText2"/>
              <w:rPr>
                <w:shd w:val="clear" w:color="auto" w:fill="FFFFFF"/>
              </w:rPr>
            </w:pPr>
            <w:r w:rsidRPr="00763768">
              <w:rPr>
                <w:shd w:val="clear" w:color="auto" w:fill="FFFFFF"/>
              </w:rPr>
              <w:t>(866) 769-3799</w:t>
            </w:r>
          </w:p>
        </w:tc>
      </w:tr>
      <w:tr w:rsidR="00AF2C66" w14:paraId="5F0F7B6B" w14:textId="77777777" w:rsidTr="005D6AA8">
        <w:trPr>
          <w:trHeight w:val="394"/>
        </w:trPr>
        <w:tc>
          <w:tcPr>
            <w:tcW w:w="3888" w:type="dxa"/>
          </w:tcPr>
          <w:p w14:paraId="37907AEB" w14:textId="77777777" w:rsidR="00AF2C66" w:rsidRDefault="00AF2C66" w:rsidP="005D6AA8">
            <w:pPr>
              <w:pStyle w:val="BodyText2"/>
            </w:pPr>
            <w:r>
              <w:t>NRG Retail Solutions</w:t>
            </w:r>
          </w:p>
        </w:tc>
        <w:tc>
          <w:tcPr>
            <w:tcW w:w="1710" w:type="dxa"/>
          </w:tcPr>
          <w:p w14:paraId="3CC868FB" w14:textId="010E1B0C" w:rsidR="00AF2C66" w:rsidRDefault="003E20D9" w:rsidP="005D6AA8">
            <w:pPr>
              <w:pStyle w:val="BodyText2"/>
            </w:pPr>
            <w:r>
              <w:t>95.79</w:t>
            </w:r>
            <w:r w:rsidR="00AF2C66">
              <w:t>%</w:t>
            </w:r>
          </w:p>
        </w:tc>
        <w:tc>
          <w:tcPr>
            <w:tcW w:w="1543" w:type="dxa"/>
          </w:tcPr>
          <w:p w14:paraId="6F703654" w14:textId="6E54EAC5" w:rsidR="00AF2C66" w:rsidRPr="0097606F" w:rsidRDefault="00292EC0" w:rsidP="005D6AA8">
            <w:pPr>
              <w:pStyle w:val="BodyText2"/>
            </w:pPr>
            <w:r>
              <w:t>86.72</w:t>
            </w:r>
            <w:r w:rsidR="00AF2C66" w:rsidRPr="0097606F">
              <w:t>%</w:t>
            </w:r>
          </w:p>
        </w:tc>
        <w:tc>
          <w:tcPr>
            <w:tcW w:w="1730" w:type="dxa"/>
            <w:shd w:val="clear" w:color="auto" w:fill="auto"/>
          </w:tcPr>
          <w:p w14:paraId="3EE129DB" w14:textId="77777777" w:rsidR="00AF2C66" w:rsidRPr="00763768" w:rsidRDefault="00AF2C66" w:rsidP="005D6AA8">
            <w:pPr>
              <w:pStyle w:val="BodyText2"/>
              <w:rPr>
                <w:shd w:val="clear" w:color="auto" w:fill="FFFFFF"/>
              </w:rPr>
            </w:pPr>
            <w:r>
              <w:rPr>
                <w:shd w:val="clear" w:color="auto" w:fill="FFFFFF"/>
              </w:rPr>
              <w:t>(</w:t>
            </w:r>
            <w:r w:rsidRPr="00763768">
              <w:rPr>
                <w:shd w:val="clear" w:color="auto" w:fill="FFFFFF"/>
              </w:rPr>
              <w:t>855</w:t>
            </w:r>
            <w:r>
              <w:rPr>
                <w:shd w:val="clear" w:color="auto" w:fill="FFFFFF"/>
              </w:rPr>
              <w:t xml:space="preserve">) </w:t>
            </w:r>
            <w:r w:rsidRPr="00763768">
              <w:rPr>
                <w:shd w:val="clear" w:color="auto" w:fill="FFFFFF"/>
              </w:rPr>
              <w:t>500-8703</w:t>
            </w:r>
          </w:p>
        </w:tc>
      </w:tr>
      <w:tr w:rsidR="00AF2C66" w14:paraId="1690C786" w14:textId="77777777" w:rsidTr="005D6AA8">
        <w:trPr>
          <w:trHeight w:val="394"/>
        </w:trPr>
        <w:tc>
          <w:tcPr>
            <w:tcW w:w="3888" w:type="dxa"/>
          </w:tcPr>
          <w:p w14:paraId="6FFE8EEF" w14:textId="77777777" w:rsidR="00AF2C66" w:rsidRDefault="00AF2C66" w:rsidP="005D6AA8">
            <w:pPr>
              <w:pStyle w:val="BodyText2"/>
            </w:pPr>
            <w:r>
              <w:t>Public Power LLC</w:t>
            </w:r>
          </w:p>
        </w:tc>
        <w:tc>
          <w:tcPr>
            <w:tcW w:w="1710" w:type="dxa"/>
          </w:tcPr>
          <w:p w14:paraId="13BE6994" w14:textId="56029DF8" w:rsidR="00AF2C66" w:rsidRDefault="003E20D9" w:rsidP="005D6AA8">
            <w:pPr>
              <w:pStyle w:val="BodyText2"/>
            </w:pPr>
            <w:r>
              <w:t>35.93</w:t>
            </w:r>
            <w:r w:rsidR="00AF2C66">
              <w:t>%</w:t>
            </w:r>
          </w:p>
        </w:tc>
        <w:tc>
          <w:tcPr>
            <w:tcW w:w="1543" w:type="dxa"/>
          </w:tcPr>
          <w:p w14:paraId="0AE504E5" w14:textId="161246D2" w:rsidR="00AF2C66" w:rsidRPr="0097606F" w:rsidRDefault="0097606F" w:rsidP="005D6AA8">
            <w:pPr>
              <w:pStyle w:val="BodyText2"/>
            </w:pPr>
            <w:r w:rsidRPr="0097606F">
              <w:t>N/A</w:t>
            </w:r>
          </w:p>
        </w:tc>
        <w:tc>
          <w:tcPr>
            <w:tcW w:w="1730" w:type="dxa"/>
            <w:shd w:val="clear" w:color="auto" w:fill="auto"/>
          </w:tcPr>
          <w:p w14:paraId="0EF98C87" w14:textId="77777777" w:rsidR="00AF2C66" w:rsidRPr="00763768" w:rsidRDefault="00AF2C66" w:rsidP="005D6AA8">
            <w:pPr>
              <w:pStyle w:val="BodyText2"/>
              <w:rPr>
                <w:shd w:val="clear" w:color="auto" w:fill="FFFFFF"/>
              </w:rPr>
            </w:pPr>
            <w:r w:rsidRPr="00763768">
              <w:rPr>
                <w:shd w:val="clear" w:color="auto" w:fill="FFFFFF"/>
              </w:rPr>
              <w:t>(888) 354-4415</w:t>
            </w:r>
          </w:p>
        </w:tc>
      </w:tr>
      <w:tr w:rsidR="00AF2C66" w14:paraId="318CA9E1" w14:textId="77777777" w:rsidTr="005D6AA8">
        <w:trPr>
          <w:trHeight w:val="394"/>
        </w:trPr>
        <w:tc>
          <w:tcPr>
            <w:tcW w:w="3888" w:type="dxa"/>
          </w:tcPr>
          <w:p w14:paraId="4B432729" w14:textId="77777777" w:rsidR="00AF2C66" w:rsidRDefault="00AF2C66" w:rsidP="005D6AA8">
            <w:pPr>
              <w:pStyle w:val="BodyText2"/>
            </w:pPr>
            <w:r>
              <w:t>Spark Energy LP</w:t>
            </w:r>
          </w:p>
        </w:tc>
        <w:tc>
          <w:tcPr>
            <w:tcW w:w="1710" w:type="dxa"/>
          </w:tcPr>
          <w:p w14:paraId="6A4234AC" w14:textId="1A6AE532" w:rsidR="00AF2C66" w:rsidRDefault="003E20D9" w:rsidP="005D6AA8">
            <w:pPr>
              <w:pStyle w:val="BodyText2"/>
            </w:pPr>
            <w:r>
              <w:t>82.76</w:t>
            </w:r>
            <w:r w:rsidR="00AF2C66">
              <w:t>%</w:t>
            </w:r>
          </w:p>
        </w:tc>
        <w:tc>
          <w:tcPr>
            <w:tcW w:w="1543" w:type="dxa"/>
          </w:tcPr>
          <w:p w14:paraId="08EB9017" w14:textId="79E0CF41" w:rsidR="00AF2C66" w:rsidRPr="0097606F" w:rsidRDefault="00292EC0" w:rsidP="005D6AA8">
            <w:pPr>
              <w:pStyle w:val="BodyText2"/>
            </w:pPr>
            <w:r>
              <w:t>85.21</w:t>
            </w:r>
            <w:r w:rsidR="00AF2C66" w:rsidRPr="0097606F">
              <w:t>%</w:t>
            </w:r>
          </w:p>
        </w:tc>
        <w:tc>
          <w:tcPr>
            <w:tcW w:w="1730" w:type="dxa"/>
            <w:shd w:val="clear" w:color="auto" w:fill="auto"/>
          </w:tcPr>
          <w:p w14:paraId="50038185" w14:textId="77777777" w:rsidR="00AF2C66" w:rsidRPr="00763768" w:rsidRDefault="00AF2C66" w:rsidP="005D6AA8">
            <w:pPr>
              <w:pStyle w:val="BodyText2"/>
              <w:rPr>
                <w:shd w:val="clear" w:color="auto" w:fill="FFFFFF"/>
              </w:rPr>
            </w:pPr>
            <w:r w:rsidRPr="00763768">
              <w:rPr>
                <w:shd w:val="clear" w:color="auto" w:fill="FFFFFF"/>
              </w:rPr>
              <w:t>(877) 547-7275</w:t>
            </w:r>
          </w:p>
        </w:tc>
      </w:tr>
      <w:tr w:rsidR="00AF2C66" w14:paraId="4034B24B" w14:textId="77777777" w:rsidTr="005D6AA8">
        <w:trPr>
          <w:trHeight w:val="394"/>
        </w:trPr>
        <w:tc>
          <w:tcPr>
            <w:tcW w:w="3888" w:type="dxa"/>
          </w:tcPr>
          <w:p w14:paraId="7C5DD90D" w14:textId="77777777" w:rsidR="00AF2C66" w:rsidRDefault="00AF2C66" w:rsidP="005D6AA8">
            <w:pPr>
              <w:pStyle w:val="BodyText2"/>
            </w:pPr>
            <w:r>
              <w:t>Sunwave Gas and Power CT Inc.</w:t>
            </w:r>
          </w:p>
        </w:tc>
        <w:tc>
          <w:tcPr>
            <w:tcW w:w="1710" w:type="dxa"/>
          </w:tcPr>
          <w:p w14:paraId="375CD065" w14:textId="37C10490" w:rsidR="00AF2C66" w:rsidRDefault="003E20D9" w:rsidP="005D6AA8">
            <w:pPr>
              <w:pStyle w:val="BodyText2"/>
            </w:pPr>
            <w:r>
              <w:t>46.09</w:t>
            </w:r>
            <w:r w:rsidR="00AF2C66">
              <w:t>%</w:t>
            </w:r>
          </w:p>
        </w:tc>
        <w:tc>
          <w:tcPr>
            <w:tcW w:w="1543" w:type="dxa"/>
          </w:tcPr>
          <w:p w14:paraId="7EB37227" w14:textId="3ED635B6" w:rsidR="00AF2C66" w:rsidRPr="0097606F" w:rsidRDefault="001E561C" w:rsidP="005D6AA8">
            <w:pPr>
              <w:pStyle w:val="BodyText2"/>
            </w:pPr>
            <w:r>
              <w:t>35.64</w:t>
            </w:r>
            <w:r w:rsidR="0097606F" w:rsidRPr="0097606F">
              <w:t>%</w:t>
            </w:r>
          </w:p>
        </w:tc>
        <w:tc>
          <w:tcPr>
            <w:tcW w:w="1730" w:type="dxa"/>
            <w:shd w:val="clear" w:color="auto" w:fill="auto"/>
          </w:tcPr>
          <w:p w14:paraId="452F3C9A" w14:textId="77777777" w:rsidR="00AF2C66" w:rsidRPr="00763768" w:rsidRDefault="00AF2C66" w:rsidP="005D6AA8">
            <w:pPr>
              <w:pStyle w:val="BodyText2"/>
              <w:rPr>
                <w:shd w:val="clear" w:color="auto" w:fill="FFFFFF"/>
              </w:rPr>
            </w:pPr>
            <w:r w:rsidRPr="00763768">
              <w:rPr>
                <w:shd w:val="clear" w:color="auto" w:fill="FFFFFF"/>
              </w:rPr>
              <w:t>(855) 478-6928</w:t>
            </w:r>
          </w:p>
        </w:tc>
      </w:tr>
      <w:tr w:rsidR="00AF2C66" w14:paraId="0E476D72" w14:textId="77777777" w:rsidTr="005D6AA8">
        <w:trPr>
          <w:trHeight w:val="394"/>
        </w:trPr>
        <w:tc>
          <w:tcPr>
            <w:tcW w:w="3888" w:type="dxa"/>
          </w:tcPr>
          <w:p w14:paraId="40A8B2A0" w14:textId="0D72BF05" w:rsidR="00AF2C66" w:rsidRDefault="00AF2C66" w:rsidP="005D6AA8">
            <w:pPr>
              <w:pStyle w:val="BodyText2"/>
            </w:pPr>
            <w:r>
              <w:t xml:space="preserve">Verde Energy USA </w:t>
            </w:r>
            <w:r w:rsidR="00AF4096">
              <w:t>Inc.</w:t>
            </w:r>
          </w:p>
        </w:tc>
        <w:tc>
          <w:tcPr>
            <w:tcW w:w="1710" w:type="dxa"/>
          </w:tcPr>
          <w:p w14:paraId="22D973A0" w14:textId="11F45429" w:rsidR="00AF2C66" w:rsidRDefault="003E20D9" w:rsidP="005D6AA8">
            <w:pPr>
              <w:pStyle w:val="BodyText2"/>
            </w:pPr>
            <w:r>
              <w:t>73.31</w:t>
            </w:r>
            <w:r w:rsidR="00AF2C66">
              <w:t>%</w:t>
            </w:r>
          </w:p>
        </w:tc>
        <w:tc>
          <w:tcPr>
            <w:tcW w:w="1543" w:type="dxa"/>
          </w:tcPr>
          <w:p w14:paraId="0B359041" w14:textId="61BCBE13" w:rsidR="00AF2C66" w:rsidRPr="0097606F" w:rsidRDefault="001E561C" w:rsidP="005D6AA8">
            <w:pPr>
              <w:pStyle w:val="BodyText2"/>
            </w:pPr>
            <w:r>
              <w:t>60.58</w:t>
            </w:r>
            <w:r w:rsidR="0097606F" w:rsidRPr="0097606F">
              <w:t>%</w:t>
            </w:r>
          </w:p>
        </w:tc>
        <w:tc>
          <w:tcPr>
            <w:tcW w:w="1730" w:type="dxa"/>
            <w:shd w:val="clear" w:color="auto" w:fill="auto"/>
          </w:tcPr>
          <w:p w14:paraId="20EBB9E6" w14:textId="77777777" w:rsidR="00AF2C66" w:rsidRPr="00763768" w:rsidRDefault="00AF2C66" w:rsidP="005D6AA8">
            <w:pPr>
              <w:pStyle w:val="BodyText2"/>
              <w:rPr>
                <w:shd w:val="clear" w:color="auto" w:fill="FFFFFF"/>
              </w:rPr>
            </w:pPr>
            <w:r w:rsidRPr="00763768">
              <w:rPr>
                <w:shd w:val="clear" w:color="auto" w:fill="FFFFFF"/>
              </w:rPr>
              <w:t>(800) 388-3862</w:t>
            </w:r>
          </w:p>
        </w:tc>
      </w:tr>
      <w:tr w:rsidR="00AF2C66" w14:paraId="6CE684A9" w14:textId="77777777" w:rsidTr="005D6AA8">
        <w:trPr>
          <w:trHeight w:val="394"/>
        </w:trPr>
        <w:tc>
          <w:tcPr>
            <w:tcW w:w="3888" w:type="dxa"/>
          </w:tcPr>
          <w:p w14:paraId="653E6D6D" w14:textId="56DA11FE" w:rsidR="00AF2C66" w:rsidRDefault="00AF2C66" w:rsidP="005D6AA8">
            <w:pPr>
              <w:pStyle w:val="BodyText2"/>
            </w:pPr>
            <w:r>
              <w:t xml:space="preserve">Viridian Energy </w:t>
            </w:r>
            <w:r w:rsidR="00AF4096">
              <w:t>Inc.</w:t>
            </w:r>
          </w:p>
        </w:tc>
        <w:tc>
          <w:tcPr>
            <w:tcW w:w="1710" w:type="dxa"/>
          </w:tcPr>
          <w:p w14:paraId="26F8E596" w14:textId="50BCE8C9" w:rsidR="00AF2C66" w:rsidRDefault="003E20D9" w:rsidP="005D6AA8">
            <w:pPr>
              <w:pStyle w:val="BodyText2"/>
            </w:pPr>
            <w:r>
              <w:t>83.45</w:t>
            </w:r>
            <w:r w:rsidR="00AF2C66">
              <w:t>%</w:t>
            </w:r>
          </w:p>
        </w:tc>
        <w:tc>
          <w:tcPr>
            <w:tcW w:w="1543" w:type="dxa"/>
          </w:tcPr>
          <w:p w14:paraId="358C700D" w14:textId="28051FE5" w:rsidR="00AF2C66" w:rsidRPr="0097606F" w:rsidRDefault="001E561C" w:rsidP="005D6AA8">
            <w:pPr>
              <w:pStyle w:val="BodyText2"/>
            </w:pPr>
            <w:r>
              <w:t>36.12</w:t>
            </w:r>
            <w:r w:rsidR="00AF2C66" w:rsidRPr="0097606F">
              <w:t>%</w:t>
            </w:r>
          </w:p>
        </w:tc>
        <w:tc>
          <w:tcPr>
            <w:tcW w:w="1730" w:type="dxa"/>
            <w:shd w:val="clear" w:color="auto" w:fill="auto"/>
          </w:tcPr>
          <w:p w14:paraId="67B38447" w14:textId="77777777" w:rsidR="00AF2C66" w:rsidRPr="00763768" w:rsidRDefault="00AF2C66" w:rsidP="005D6AA8">
            <w:pPr>
              <w:pStyle w:val="BodyText2"/>
              <w:rPr>
                <w:shd w:val="clear" w:color="auto" w:fill="FFFFFF"/>
              </w:rPr>
            </w:pPr>
            <w:r w:rsidRPr="00763768">
              <w:rPr>
                <w:shd w:val="clear" w:color="auto" w:fill="FFFFFF"/>
              </w:rPr>
              <w:t>(866) 663-2508</w:t>
            </w:r>
          </w:p>
        </w:tc>
      </w:tr>
      <w:tr w:rsidR="00AF2C66" w14:paraId="7026FBD7" w14:textId="77777777" w:rsidTr="005D6AA8">
        <w:trPr>
          <w:trHeight w:val="394"/>
        </w:trPr>
        <w:tc>
          <w:tcPr>
            <w:tcW w:w="3888" w:type="dxa"/>
          </w:tcPr>
          <w:p w14:paraId="4A68684C" w14:textId="72A540C8" w:rsidR="00AF2C66" w:rsidRDefault="00AF2C66" w:rsidP="005D6AA8">
            <w:pPr>
              <w:pStyle w:val="BodyText2"/>
            </w:pPr>
            <w:r>
              <w:t xml:space="preserve">CT Gas and Electric </w:t>
            </w:r>
            <w:r w:rsidR="00AF4096">
              <w:t>Inc.</w:t>
            </w:r>
          </w:p>
        </w:tc>
        <w:tc>
          <w:tcPr>
            <w:tcW w:w="1710" w:type="dxa"/>
          </w:tcPr>
          <w:p w14:paraId="2276102A" w14:textId="17DF54A3" w:rsidR="00AF2C66" w:rsidRDefault="003E20D9" w:rsidP="005D6AA8">
            <w:pPr>
              <w:pStyle w:val="BodyText2"/>
            </w:pPr>
            <w:r>
              <w:t>32.37</w:t>
            </w:r>
            <w:r w:rsidR="00011D1E">
              <w:t>%</w:t>
            </w:r>
          </w:p>
        </w:tc>
        <w:tc>
          <w:tcPr>
            <w:tcW w:w="1543" w:type="dxa"/>
          </w:tcPr>
          <w:p w14:paraId="2656EBF5" w14:textId="3D2624AF" w:rsidR="00AF2C66" w:rsidRPr="0097606F" w:rsidRDefault="0097606F" w:rsidP="005D6AA8">
            <w:pPr>
              <w:pStyle w:val="BodyText2"/>
            </w:pPr>
            <w:r w:rsidRPr="0097606F">
              <w:t>N/A</w:t>
            </w:r>
          </w:p>
        </w:tc>
        <w:tc>
          <w:tcPr>
            <w:tcW w:w="1730" w:type="dxa"/>
            <w:shd w:val="clear" w:color="auto" w:fill="auto"/>
          </w:tcPr>
          <w:p w14:paraId="6FA6E187" w14:textId="77777777" w:rsidR="00AF2C66" w:rsidRPr="00626D67" w:rsidRDefault="00AF2C66" w:rsidP="005D6AA8">
            <w:pPr>
              <w:pStyle w:val="BodyText2"/>
              <w:rPr>
                <w:sz w:val="22"/>
                <w:szCs w:val="22"/>
                <w:shd w:val="clear" w:color="auto" w:fill="FFFFFF"/>
              </w:rPr>
            </w:pPr>
            <w:r w:rsidRPr="00763768">
              <w:rPr>
                <w:shd w:val="clear" w:color="auto" w:fill="FFFFFF"/>
              </w:rPr>
              <w:t>(855) 799-8200</w:t>
            </w:r>
          </w:p>
        </w:tc>
      </w:tr>
      <w:tr w:rsidR="00011D1E" w14:paraId="2A56A814" w14:textId="77777777" w:rsidTr="005D6AA8">
        <w:trPr>
          <w:trHeight w:val="394"/>
        </w:trPr>
        <w:tc>
          <w:tcPr>
            <w:tcW w:w="3888" w:type="dxa"/>
          </w:tcPr>
          <w:p w14:paraId="2092B37A" w14:textId="53F0B013" w:rsidR="00011D1E" w:rsidRDefault="00011D1E" w:rsidP="005D6AA8">
            <w:pPr>
              <w:pStyle w:val="BodyText2"/>
            </w:pPr>
            <w:r>
              <w:t>Discount Power Inc.</w:t>
            </w:r>
          </w:p>
        </w:tc>
        <w:tc>
          <w:tcPr>
            <w:tcW w:w="1710" w:type="dxa"/>
          </w:tcPr>
          <w:p w14:paraId="36FC25B7" w14:textId="3331E974" w:rsidR="00011D1E" w:rsidRDefault="003E20D9" w:rsidP="005D6AA8">
            <w:pPr>
              <w:pStyle w:val="BodyText2"/>
            </w:pPr>
            <w:r>
              <w:t>47.55</w:t>
            </w:r>
            <w:r w:rsidR="00011D1E">
              <w:t>%</w:t>
            </w:r>
          </w:p>
        </w:tc>
        <w:tc>
          <w:tcPr>
            <w:tcW w:w="1543" w:type="dxa"/>
          </w:tcPr>
          <w:p w14:paraId="023FA185" w14:textId="08095870" w:rsidR="00011D1E" w:rsidRPr="0097606F" w:rsidRDefault="0097606F" w:rsidP="005D6AA8">
            <w:pPr>
              <w:pStyle w:val="BodyText2"/>
            </w:pPr>
            <w:r w:rsidRPr="0097606F">
              <w:t>N/A</w:t>
            </w:r>
          </w:p>
        </w:tc>
        <w:tc>
          <w:tcPr>
            <w:tcW w:w="1730" w:type="dxa"/>
            <w:shd w:val="clear" w:color="auto" w:fill="auto"/>
          </w:tcPr>
          <w:p w14:paraId="5E241C18" w14:textId="13B9606E" w:rsidR="00011D1E" w:rsidRPr="00763768" w:rsidRDefault="0097606F" w:rsidP="005D6AA8">
            <w:pPr>
              <w:pStyle w:val="BodyText2"/>
              <w:rPr>
                <w:shd w:val="clear" w:color="auto" w:fill="FFFFFF"/>
              </w:rPr>
            </w:pPr>
            <w:r w:rsidRPr="0097606F">
              <w:rPr>
                <w:shd w:val="clear" w:color="auto" w:fill="FFFFFF"/>
              </w:rPr>
              <w:t>(203) 929-3200</w:t>
            </w:r>
          </w:p>
        </w:tc>
      </w:tr>
      <w:tr w:rsidR="00011D1E" w14:paraId="1352D4DD" w14:textId="77777777" w:rsidTr="005D6AA8">
        <w:trPr>
          <w:trHeight w:val="394"/>
        </w:trPr>
        <w:tc>
          <w:tcPr>
            <w:tcW w:w="3888" w:type="dxa"/>
          </w:tcPr>
          <w:p w14:paraId="21F9BA2C" w14:textId="3C0C85C3" w:rsidR="00011D1E" w:rsidRDefault="00011D1E" w:rsidP="005D6AA8">
            <w:pPr>
              <w:pStyle w:val="BodyText2"/>
            </w:pPr>
            <w:r>
              <w:t>Mega Energy of New England LLC.</w:t>
            </w:r>
          </w:p>
        </w:tc>
        <w:tc>
          <w:tcPr>
            <w:tcW w:w="1710" w:type="dxa"/>
          </w:tcPr>
          <w:p w14:paraId="0467F750" w14:textId="4210AD2B" w:rsidR="00011D1E" w:rsidRDefault="003E20D9" w:rsidP="005D6AA8">
            <w:pPr>
              <w:pStyle w:val="BodyText2"/>
            </w:pPr>
            <w:r>
              <w:t>37.33</w:t>
            </w:r>
            <w:r w:rsidR="00011D1E">
              <w:t>%</w:t>
            </w:r>
          </w:p>
        </w:tc>
        <w:tc>
          <w:tcPr>
            <w:tcW w:w="1543" w:type="dxa"/>
          </w:tcPr>
          <w:p w14:paraId="23877CEC" w14:textId="44F2F387" w:rsidR="00011D1E" w:rsidRPr="0097606F" w:rsidRDefault="0097606F" w:rsidP="005D6AA8">
            <w:pPr>
              <w:pStyle w:val="BodyText2"/>
            </w:pPr>
            <w:r w:rsidRPr="0097606F">
              <w:t>N/A</w:t>
            </w:r>
          </w:p>
        </w:tc>
        <w:tc>
          <w:tcPr>
            <w:tcW w:w="1730" w:type="dxa"/>
            <w:shd w:val="clear" w:color="auto" w:fill="auto"/>
          </w:tcPr>
          <w:p w14:paraId="1FD040CE" w14:textId="39FD1382" w:rsidR="00011D1E" w:rsidRPr="00763768" w:rsidRDefault="0097606F" w:rsidP="0097606F">
            <w:pPr>
              <w:pStyle w:val="BodyText2"/>
              <w:rPr>
                <w:shd w:val="clear" w:color="auto" w:fill="FFFFFF"/>
              </w:rPr>
            </w:pPr>
            <w:r>
              <w:rPr>
                <w:shd w:val="clear" w:color="auto" w:fill="FFFFFF"/>
              </w:rPr>
              <w:t>(</w:t>
            </w:r>
            <w:r w:rsidRPr="0097606F">
              <w:rPr>
                <w:shd w:val="clear" w:color="auto" w:fill="FFFFFF"/>
              </w:rPr>
              <w:t>855</w:t>
            </w:r>
            <w:r>
              <w:rPr>
                <w:shd w:val="clear" w:color="auto" w:fill="FFFFFF"/>
              </w:rPr>
              <w:t xml:space="preserve">) </w:t>
            </w:r>
            <w:r w:rsidRPr="0097606F">
              <w:rPr>
                <w:shd w:val="clear" w:color="auto" w:fill="FFFFFF"/>
              </w:rPr>
              <w:t>810-6342</w:t>
            </w:r>
          </w:p>
        </w:tc>
      </w:tr>
      <w:tr w:rsidR="00011D1E" w14:paraId="52E974A2" w14:textId="77777777" w:rsidTr="005D6AA8">
        <w:trPr>
          <w:trHeight w:val="394"/>
        </w:trPr>
        <w:tc>
          <w:tcPr>
            <w:tcW w:w="3888" w:type="dxa"/>
          </w:tcPr>
          <w:p w14:paraId="11CDE018" w14:textId="384EB1DD" w:rsidR="00011D1E" w:rsidRDefault="00011D1E" w:rsidP="005D6AA8">
            <w:pPr>
              <w:pStyle w:val="BodyText2"/>
            </w:pPr>
            <w:r>
              <w:t>Xoom Energy  Connecticut LLC</w:t>
            </w:r>
          </w:p>
        </w:tc>
        <w:tc>
          <w:tcPr>
            <w:tcW w:w="1710" w:type="dxa"/>
          </w:tcPr>
          <w:p w14:paraId="221AC555" w14:textId="4DD0F2D8" w:rsidR="00011D1E" w:rsidRDefault="003E20D9" w:rsidP="005D6AA8">
            <w:pPr>
              <w:pStyle w:val="BodyText2"/>
            </w:pPr>
            <w:r>
              <w:t>27.24</w:t>
            </w:r>
            <w:r w:rsidR="00011D1E">
              <w:t>%</w:t>
            </w:r>
          </w:p>
        </w:tc>
        <w:tc>
          <w:tcPr>
            <w:tcW w:w="1543" w:type="dxa"/>
          </w:tcPr>
          <w:p w14:paraId="78111B98" w14:textId="71E78C6D" w:rsidR="00011D1E" w:rsidRPr="0097606F" w:rsidRDefault="0097606F" w:rsidP="005D6AA8">
            <w:pPr>
              <w:pStyle w:val="BodyText2"/>
            </w:pPr>
            <w:r w:rsidRPr="0097606F">
              <w:t>N/A</w:t>
            </w:r>
          </w:p>
        </w:tc>
        <w:tc>
          <w:tcPr>
            <w:tcW w:w="1730" w:type="dxa"/>
            <w:shd w:val="clear" w:color="auto" w:fill="auto"/>
          </w:tcPr>
          <w:p w14:paraId="435C9C6A" w14:textId="6B0E07B6" w:rsidR="00011D1E" w:rsidRPr="00763768" w:rsidRDefault="0097606F" w:rsidP="005D6AA8">
            <w:pPr>
              <w:pStyle w:val="BodyText2"/>
              <w:rPr>
                <w:shd w:val="clear" w:color="auto" w:fill="FFFFFF"/>
              </w:rPr>
            </w:pPr>
            <w:r>
              <w:rPr>
                <w:sz w:val="22"/>
                <w:shd w:val="clear" w:color="auto" w:fill="FFFFFF"/>
              </w:rPr>
              <w:t>(</w:t>
            </w:r>
            <w:r w:rsidRPr="0097606F">
              <w:rPr>
                <w:sz w:val="22"/>
                <w:shd w:val="clear" w:color="auto" w:fill="FFFFFF"/>
              </w:rPr>
              <w:t>888</w:t>
            </w:r>
            <w:r>
              <w:rPr>
                <w:sz w:val="22"/>
                <w:shd w:val="clear" w:color="auto" w:fill="FFFFFF"/>
              </w:rPr>
              <w:t>)</w:t>
            </w:r>
            <w:r w:rsidRPr="0097606F">
              <w:rPr>
                <w:sz w:val="22"/>
                <w:shd w:val="clear" w:color="auto" w:fill="FFFFFF"/>
              </w:rPr>
              <w:t>-997-8979</w:t>
            </w:r>
          </w:p>
        </w:tc>
      </w:tr>
      <w:tr w:rsidR="0097606F" w14:paraId="0E6C900E" w14:textId="77777777" w:rsidTr="005D6AA8">
        <w:trPr>
          <w:trHeight w:val="394"/>
        </w:trPr>
        <w:tc>
          <w:tcPr>
            <w:tcW w:w="3888" w:type="dxa"/>
          </w:tcPr>
          <w:p w14:paraId="0FE2F246" w14:textId="29F5BC4A" w:rsidR="0097606F" w:rsidRDefault="0097606F" w:rsidP="005D6AA8">
            <w:pPr>
              <w:pStyle w:val="BodyText2"/>
            </w:pPr>
            <w:r>
              <w:t>Major Energy Electric Services LLC</w:t>
            </w:r>
          </w:p>
        </w:tc>
        <w:tc>
          <w:tcPr>
            <w:tcW w:w="1710" w:type="dxa"/>
          </w:tcPr>
          <w:p w14:paraId="10751A16" w14:textId="4C37BAE0" w:rsidR="0097606F" w:rsidRDefault="003E20D9" w:rsidP="005D6AA8">
            <w:pPr>
              <w:pStyle w:val="BodyText2"/>
            </w:pPr>
            <w:r>
              <w:t>28.06%</w:t>
            </w:r>
          </w:p>
        </w:tc>
        <w:tc>
          <w:tcPr>
            <w:tcW w:w="1543" w:type="dxa"/>
          </w:tcPr>
          <w:p w14:paraId="7776695F" w14:textId="318424A6" w:rsidR="0097606F" w:rsidRPr="0097606F" w:rsidRDefault="00292EC0" w:rsidP="005D6AA8">
            <w:pPr>
              <w:pStyle w:val="BodyText2"/>
            </w:pPr>
            <w:r>
              <w:t>51.24</w:t>
            </w:r>
            <w:r w:rsidR="0097606F" w:rsidRPr="0097606F">
              <w:t>%</w:t>
            </w:r>
          </w:p>
        </w:tc>
        <w:tc>
          <w:tcPr>
            <w:tcW w:w="1730" w:type="dxa"/>
            <w:shd w:val="clear" w:color="auto" w:fill="auto"/>
          </w:tcPr>
          <w:p w14:paraId="14B5683C" w14:textId="19F3E560" w:rsidR="0097606F" w:rsidRPr="00763768" w:rsidRDefault="0097606F" w:rsidP="005D6AA8">
            <w:pPr>
              <w:pStyle w:val="BodyText2"/>
              <w:rPr>
                <w:shd w:val="clear" w:color="auto" w:fill="FFFFFF"/>
              </w:rPr>
            </w:pPr>
            <w:r w:rsidRPr="0097606F">
              <w:rPr>
                <w:shd w:val="clear" w:color="auto" w:fill="FFFFFF"/>
              </w:rPr>
              <w:t>(888) 625-6760</w:t>
            </w:r>
          </w:p>
        </w:tc>
      </w:tr>
    </w:tbl>
    <w:p w14:paraId="6E8C3E6E" w14:textId="7DA405D1" w:rsidR="00B73D42" w:rsidRPr="00E45CF4" w:rsidRDefault="00B73D42" w:rsidP="00286A09">
      <w:pPr>
        <w:pStyle w:val="BodyText2"/>
        <w:spacing w:after="0" w:line="240" w:lineRule="auto"/>
      </w:pPr>
    </w:p>
    <w:p w14:paraId="1543FD25" w14:textId="77777777"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2" w:history="1">
        <w:r w:rsidR="00763768" w:rsidRPr="00781757">
          <w:rPr>
            <w:rStyle w:val="Hyperlink"/>
          </w:rPr>
          <w:t>occ.info@ct.gov</w:t>
        </w:r>
      </w:hyperlink>
      <w:r w:rsidR="001A585A">
        <w:t xml:space="preserve"> </w:t>
      </w:r>
      <w:r w:rsidR="007A7A82" w:rsidRPr="00E45CF4">
        <w:t>if you have any questions about this information.</w:t>
      </w:r>
    </w:p>
    <w:p w14:paraId="6C533F98" w14:textId="77777777" w:rsidR="00286A09" w:rsidRPr="00E45CF4" w:rsidRDefault="00286A09" w:rsidP="00380DE2">
      <w:pPr>
        <w:pStyle w:val="BodyText2"/>
        <w:spacing w:line="240" w:lineRule="auto"/>
      </w:pPr>
    </w:p>
    <w:sectPr w:rsidR="00286A09" w:rsidRPr="00E45CF4" w:rsidSect="00E96F35">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1A41B" w14:textId="77777777" w:rsidR="00687AB8" w:rsidRDefault="00687AB8" w:rsidP="0010750F">
      <w:pPr>
        <w:spacing w:line="240" w:lineRule="auto"/>
      </w:pPr>
      <w:r>
        <w:separator/>
      </w:r>
    </w:p>
  </w:endnote>
  <w:endnote w:type="continuationSeparator" w:id="0">
    <w:p w14:paraId="5C04097D" w14:textId="77777777" w:rsidR="00687AB8" w:rsidRDefault="00687AB8"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C6DE6" w14:textId="77777777" w:rsidR="00687AB8" w:rsidRDefault="00687AB8" w:rsidP="0010750F">
      <w:pPr>
        <w:spacing w:line="240" w:lineRule="auto"/>
      </w:pPr>
      <w:r>
        <w:separator/>
      </w:r>
    </w:p>
  </w:footnote>
  <w:footnote w:type="continuationSeparator" w:id="0">
    <w:p w14:paraId="117902C8" w14:textId="77777777" w:rsidR="00687AB8" w:rsidRDefault="00687AB8" w:rsidP="0010750F">
      <w:pPr>
        <w:spacing w:line="240" w:lineRule="auto"/>
      </w:pPr>
      <w:r>
        <w:continuationSeparator/>
      </w:r>
    </w:p>
  </w:footnote>
  <w:footnote w:id="1">
    <w:p w14:paraId="2ECAE717" w14:textId="77777777" w:rsidR="00037D42" w:rsidRDefault="00037D42">
      <w:pPr>
        <w:pStyle w:val="FootnoteText"/>
      </w:pPr>
    </w:p>
    <w:p w14:paraId="39103313" w14:textId="77777777" w:rsidR="00037D42" w:rsidRDefault="00037D42">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14:paraId="3D8431F3" w14:textId="77777777" w:rsidR="00037D42" w:rsidRDefault="00037D42">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en-US" w:vendorID="64" w:dllVersion="6" w:nlCheck="1" w:checkStyle="0"/>
  <w:activeWritingStyle w:appName="MSWord" w:lang="en-US" w:vendorID="64" w:dllVersion="4096" w:nlCheck="1" w:checkStyle="0"/>
  <w:activeWritingStyle w:appName="MSWord" w:lang="en-US" w:vendorID="64" w:dllVersion="131078" w:nlCheck="1" w:checkStyle="1"/>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C81"/>
    <w:rsid w:val="0000043E"/>
    <w:rsid w:val="00007499"/>
    <w:rsid w:val="00011D1E"/>
    <w:rsid w:val="00016099"/>
    <w:rsid w:val="00016D19"/>
    <w:rsid w:val="000218D5"/>
    <w:rsid w:val="00025130"/>
    <w:rsid w:val="000254FB"/>
    <w:rsid w:val="000301D8"/>
    <w:rsid w:val="00032363"/>
    <w:rsid w:val="00037D42"/>
    <w:rsid w:val="000437C4"/>
    <w:rsid w:val="00065C47"/>
    <w:rsid w:val="00076478"/>
    <w:rsid w:val="0009501F"/>
    <w:rsid w:val="000B2780"/>
    <w:rsid w:val="000C0CA9"/>
    <w:rsid w:val="000D5989"/>
    <w:rsid w:val="000E7045"/>
    <w:rsid w:val="000F0CA8"/>
    <w:rsid w:val="000F67C5"/>
    <w:rsid w:val="001071BD"/>
    <w:rsid w:val="0010750F"/>
    <w:rsid w:val="001114A7"/>
    <w:rsid w:val="00115249"/>
    <w:rsid w:val="00116EF6"/>
    <w:rsid w:val="0012529A"/>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61C"/>
    <w:rsid w:val="001E5CA2"/>
    <w:rsid w:val="001E7966"/>
    <w:rsid w:val="001F2C25"/>
    <w:rsid w:val="00203BCA"/>
    <w:rsid w:val="00212B64"/>
    <w:rsid w:val="00225AF8"/>
    <w:rsid w:val="0024192A"/>
    <w:rsid w:val="00255C97"/>
    <w:rsid w:val="00255FA8"/>
    <w:rsid w:val="002567FA"/>
    <w:rsid w:val="00262073"/>
    <w:rsid w:val="0028106C"/>
    <w:rsid w:val="00284AD2"/>
    <w:rsid w:val="00286A09"/>
    <w:rsid w:val="00287796"/>
    <w:rsid w:val="00292EC0"/>
    <w:rsid w:val="00294FB0"/>
    <w:rsid w:val="002967A9"/>
    <w:rsid w:val="002B3A63"/>
    <w:rsid w:val="002F528A"/>
    <w:rsid w:val="00300222"/>
    <w:rsid w:val="003063A2"/>
    <w:rsid w:val="0030740D"/>
    <w:rsid w:val="0031017D"/>
    <w:rsid w:val="00324D56"/>
    <w:rsid w:val="00335D19"/>
    <w:rsid w:val="00341653"/>
    <w:rsid w:val="003472ED"/>
    <w:rsid w:val="00353264"/>
    <w:rsid w:val="00353549"/>
    <w:rsid w:val="00380DE2"/>
    <w:rsid w:val="00381FF0"/>
    <w:rsid w:val="003864B4"/>
    <w:rsid w:val="00386D1A"/>
    <w:rsid w:val="00392605"/>
    <w:rsid w:val="003A0017"/>
    <w:rsid w:val="003A535E"/>
    <w:rsid w:val="003C4093"/>
    <w:rsid w:val="003C634C"/>
    <w:rsid w:val="003D3AF0"/>
    <w:rsid w:val="003E20D9"/>
    <w:rsid w:val="003E2906"/>
    <w:rsid w:val="003E665C"/>
    <w:rsid w:val="003F024D"/>
    <w:rsid w:val="003F4FBC"/>
    <w:rsid w:val="003F6679"/>
    <w:rsid w:val="00400969"/>
    <w:rsid w:val="00414066"/>
    <w:rsid w:val="0041666C"/>
    <w:rsid w:val="0042107E"/>
    <w:rsid w:val="00432AA5"/>
    <w:rsid w:val="004468B2"/>
    <w:rsid w:val="00457FBD"/>
    <w:rsid w:val="00486085"/>
    <w:rsid w:val="00492E63"/>
    <w:rsid w:val="004964DC"/>
    <w:rsid w:val="004A1DCC"/>
    <w:rsid w:val="004B1F9F"/>
    <w:rsid w:val="004B76B9"/>
    <w:rsid w:val="004C2573"/>
    <w:rsid w:val="004D0ED4"/>
    <w:rsid w:val="004D6A83"/>
    <w:rsid w:val="004D7E30"/>
    <w:rsid w:val="004E362E"/>
    <w:rsid w:val="004E6BA6"/>
    <w:rsid w:val="004E75C5"/>
    <w:rsid w:val="005014ED"/>
    <w:rsid w:val="00503EC9"/>
    <w:rsid w:val="00511A54"/>
    <w:rsid w:val="005232C8"/>
    <w:rsid w:val="0053038C"/>
    <w:rsid w:val="00532792"/>
    <w:rsid w:val="00542D78"/>
    <w:rsid w:val="005462E6"/>
    <w:rsid w:val="00550A5A"/>
    <w:rsid w:val="00566C3A"/>
    <w:rsid w:val="00571FB4"/>
    <w:rsid w:val="005725A0"/>
    <w:rsid w:val="00572C5E"/>
    <w:rsid w:val="005818B0"/>
    <w:rsid w:val="00582A55"/>
    <w:rsid w:val="0059405F"/>
    <w:rsid w:val="005A0F74"/>
    <w:rsid w:val="005C351F"/>
    <w:rsid w:val="005C4B48"/>
    <w:rsid w:val="005D07FE"/>
    <w:rsid w:val="005D209C"/>
    <w:rsid w:val="005D748C"/>
    <w:rsid w:val="005E3017"/>
    <w:rsid w:val="005E4571"/>
    <w:rsid w:val="005F4537"/>
    <w:rsid w:val="0061513D"/>
    <w:rsid w:val="00626D67"/>
    <w:rsid w:val="00634DA6"/>
    <w:rsid w:val="00642CFF"/>
    <w:rsid w:val="00684A24"/>
    <w:rsid w:val="00684A48"/>
    <w:rsid w:val="00684C49"/>
    <w:rsid w:val="00687AB8"/>
    <w:rsid w:val="00692B14"/>
    <w:rsid w:val="00696242"/>
    <w:rsid w:val="006A20DC"/>
    <w:rsid w:val="007251AC"/>
    <w:rsid w:val="00730333"/>
    <w:rsid w:val="00743ED8"/>
    <w:rsid w:val="00747F16"/>
    <w:rsid w:val="00752BEF"/>
    <w:rsid w:val="007610A0"/>
    <w:rsid w:val="00763768"/>
    <w:rsid w:val="007649EA"/>
    <w:rsid w:val="00773779"/>
    <w:rsid w:val="00784939"/>
    <w:rsid w:val="0078663D"/>
    <w:rsid w:val="00794190"/>
    <w:rsid w:val="007942D4"/>
    <w:rsid w:val="007A2A0C"/>
    <w:rsid w:val="007A541E"/>
    <w:rsid w:val="007A7A82"/>
    <w:rsid w:val="007A7CCB"/>
    <w:rsid w:val="007B6B27"/>
    <w:rsid w:val="007C39EA"/>
    <w:rsid w:val="007C4793"/>
    <w:rsid w:val="007E6ECF"/>
    <w:rsid w:val="00800769"/>
    <w:rsid w:val="008012D0"/>
    <w:rsid w:val="008052B1"/>
    <w:rsid w:val="00807F10"/>
    <w:rsid w:val="00815325"/>
    <w:rsid w:val="00815B50"/>
    <w:rsid w:val="0084624F"/>
    <w:rsid w:val="00856234"/>
    <w:rsid w:val="00881C18"/>
    <w:rsid w:val="00882477"/>
    <w:rsid w:val="008866FD"/>
    <w:rsid w:val="00893E99"/>
    <w:rsid w:val="00895A43"/>
    <w:rsid w:val="00896C3B"/>
    <w:rsid w:val="008A01B1"/>
    <w:rsid w:val="008A1A78"/>
    <w:rsid w:val="008B063B"/>
    <w:rsid w:val="008B1E11"/>
    <w:rsid w:val="008B2017"/>
    <w:rsid w:val="008C1DCB"/>
    <w:rsid w:val="008C2FF1"/>
    <w:rsid w:val="008D4FD2"/>
    <w:rsid w:val="008E37DF"/>
    <w:rsid w:val="008E699B"/>
    <w:rsid w:val="0091035F"/>
    <w:rsid w:val="00917FA3"/>
    <w:rsid w:val="00921AEF"/>
    <w:rsid w:val="009345E9"/>
    <w:rsid w:val="00944B7B"/>
    <w:rsid w:val="0094653B"/>
    <w:rsid w:val="009473D2"/>
    <w:rsid w:val="00954173"/>
    <w:rsid w:val="00962C2B"/>
    <w:rsid w:val="009642E5"/>
    <w:rsid w:val="00973CFE"/>
    <w:rsid w:val="00974BD9"/>
    <w:rsid w:val="0097606F"/>
    <w:rsid w:val="009A6C77"/>
    <w:rsid w:val="009B2DA8"/>
    <w:rsid w:val="009D331F"/>
    <w:rsid w:val="009D5D33"/>
    <w:rsid w:val="009E7D61"/>
    <w:rsid w:val="009F1438"/>
    <w:rsid w:val="00A0672C"/>
    <w:rsid w:val="00A17D7C"/>
    <w:rsid w:val="00A21B14"/>
    <w:rsid w:val="00A227DB"/>
    <w:rsid w:val="00A3249A"/>
    <w:rsid w:val="00A3559A"/>
    <w:rsid w:val="00A40E13"/>
    <w:rsid w:val="00A443D3"/>
    <w:rsid w:val="00A46677"/>
    <w:rsid w:val="00A54E14"/>
    <w:rsid w:val="00A644D0"/>
    <w:rsid w:val="00A6753F"/>
    <w:rsid w:val="00A723B5"/>
    <w:rsid w:val="00A81486"/>
    <w:rsid w:val="00AB2EED"/>
    <w:rsid w:val="00AD2FB2"/>
    <w:rsid w:val="00AD7A01"/>
    <w:rsid w:val="00AF03C6"/>
    <w:rsid w:val="00AF2741"/>
    <w:rsid w:val="00AF2C66"/>
    <w:rsid w:val="00AF4096"/>
    <w:rsid w:val="00B0258A"/>
    <w:rsid w:val="00B04F95"/>
    <w:rsid w:val="00B06E50"/>
    <w:rsid w:val="00B30C0C"/>
    <w:rsid w:val="00B30D91"/>
    <w:rsid w:val="00B365B9"/>
    <w:rsid w:val="00B42FE1"/>
    <w:rsid w:val="00B45DA9"/>
    <w:rsid w:val="00B55D91"/>
    <w:rsid w:val="00B60370"/>
    <w:rsid w:val="00B61F1A"/>
    <w:rsid w:val="00B63051"/>
    <w:rsid w:val="00B6769E"/>
    <w:rsid w:val="00B73D42"/>
    <w:rsid w:val="00B75747"/>
    <w:rsid w:val="00B8330D"/>
    <w:rsid w:val="00B922E5"/>
    <w:rsid w:val="00BA306F"/>
    <w:rsid w:val="00BA355F"/>
    <w:rsid w:val="00BB3667"/>
    <w:rsid w:val="00BB463E"/>
    <w:rsid w:val="00BB4E37"/>
    <w:rsid w:val="00BC1F3E"/>
    <w:rsid w:val="00BC60AC"/>
    <w:rsid w:val="00BD28AD"/>
    <w:rsid w:val="00BE4A6A"/>
    <w:rsid w:val="00BE6412"/>
    <w:rsid w:val="00BF0ABA"/>
    <w:rsid w:val="00BF41DC"/>
    <w:rsid w:val="00BF48D0"/>
    <w:rsid w:val="00BF5462"/>
    <w:rsid w:val="00BF64D1"/>
    <w:rsid w:val="00C11A7A"/>
    <w:rsid w:val="00C1789A"/>
    <w:rsid w:val="00C23013"/>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C3F87"/>
    <w:rsid w:val="00CD0EEB"/>
    <w:rsid w:val="00CD2031"/>
    <w:rsid w:val="00CE74C8"/>
    <w:rsid w:val="00D0374F"/>
    <w:rsid w:val="00D0571E"/>
    <w:rsid w:val="00D0749C"/>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C6936"/>
    <w:rsid w:val="00DD3E9D"/>
    <w:rsid w:val="00DE554F"/>
    <w:rsid w:val="00DF60A1"/>
    <w:rsid w:val="00E06D53"/>
    <w:rsid w:val="00E24407"/>
    <w:rsid w:val="00E25CAB"/>
    <w:rsid w:val="00E2662F"/>
    <w:rsid w:val="00E34D51"/>
    <w:rsid w:val="00E37528"/>
    <w:rsid w:val="00E3791F"/>
    <w:rsid w:val="00E45CF4"/>
    <w:rsid w:val="00E477D8"/>
    <w:rsid w:val="00E51DE6"/>
    <w:rsid w:val="00E572DB"/>
    <w:rsid w:val="00E662DF"/>
    <w:rsid w:val="00E7419E"/>
    <w:rsid w:val="00E77454"/>
    <w:rsid w:val="00E96F35"/>
    <w:rsid w:val="00EB20D9"/>
    <w:rsid w:val="00EB2275"/>
    <w:rsid w:val="00EC7DF7"/>
    <w:rsid w:val="00ED7022"/>
    <w:rsid w:val="00EE27DD"/>
    <w:rsid w:val="00EE39AD"/>
    <w:rsid w:val="00F31FC1"/>
    <w:rsid w:val="00F51E50"/>
    <w:rsid w:val="00F57EE7"/>
    <w:rsid w:val="00F63122"/>
    <w:rsid w:val="00F65401"/>
    <w:rsid w:val="00F659A1"/>
    <w:rsid w:val="00F74236"/>
    <w:rsid w:val="00F74AAB"/>
    <w:rsid w:val="00F757DA"/>
    <w:rsid w:val="00F93175"/>
    <w:rsid w:val="00F940AB"/>
    <w:rsid w:val="00FA0AE5"/>
    <w:rsid w:val="00FB18B4"/>
    <w:rsid w:val="00FB362D"/>
    <w:rsid w:val="00FC24F5"/>
    <w:rsid w:val="00FC68AC"/>
    <w:rsid w:val="00FD5534"/>
    <w:rsid w:val="00FE3863"/>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83738"/>
  <w15:docId w15:val="{3B3EBC0B-021B-4E65-897A-80015279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 w:type="character" w:customStyle="1" w:styleId="w-text-value">
    <w:name w:val="w-text-value"/>
    <w:basedOn w:val="DefaultParagraphFont"/>
    <w:rsid w:val="008E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cc.info@ct.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t.gov/occ/lib/occ/occ_files_testimony_regarding_electric_suppliers_in_pura_docket_no__13-07-1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7556E-6E4A-45BF-9C19-1DA0A4552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 Katz</dc:creator>
  <cp:lastModifiedBy>Melody Mendez</cp:lastModifiedBy>
  <cp:revision>8</cp:revision>
  <cp:lastPrinted>2016-04-11T12:41:00Z</cp:lastPrinted>
  <dcterms:created xsi:type="dcterms:W3CDTF">2021-01-05T15:36:00Z</dcterms:created>
  <dcterms:modified xsi:type="dcterms:W3CDTF">2021-02-01T19:11:00Z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