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118B" w14:textId="13A8FB13" w:rsidR="00171BAF" w:rsidRDefault="00171BAF" w:rsidP="00171BAF">
      <w:pPr>
        <w:pStyle w:val="Default"/>
        <w:jc w:val="center"/>
        <w:rPr>
          <w:rFonts w:ascii="Century Schoolbook" w:hAnsi="Century Schoolbook"/>
          <w:b/>
          <w:sz w:val="36"/>
          <w:szCs w:val="36"/>
        </w:rPr>
      </w:pPr>
      <w:bookmarkStart w:id="0" w:name="_GoBack"/>
      <w:bookmarkEnd w:id="0"/>
      <w:r w:rsidRPr="00BC4799">
        <w:rPr>
          <w:rFonts w:ascii="Century Schoolbook" w:hAnsi="Century Schoolbook"/>
          <w:b/>
          <w:sz w:val="36"/>
          <w:szCs w:val="36"/>
        </w:rPr>
        <w:t>Fiscal Year 20</w:t>
      </w:r>
      <w:r>
        <w:rPr>
          <w:rFonts w:ascii="Century Schoolbook" w:hAnsi="Century Schoolbook"/>
          <w:b/>
          <w:sz w:val="36"/>
          <w:szCs w:val="36"/>
        </w:rPr>
        <w:t>1</w:t>
      </w:r>
      <w:r w:rsidR="00635278">
        <w:rPr>
          <w:rFonts w:ascii="Century Schoolbook" w:hAnsi="Century Schoolbook"/>
          <w:b/>
          <w:sz w:val="36"/>
          <w:szCs w:val="36"/>
        </w:rPr>
        <w:t>8</w:t>
      </w:r>
      <w:r>
        <w:rPr>
          <w:rFonts w:ascii="Century Schoolbook" w:hAnsi="Century Schoolbook"/>
          <w:b/>
          <w:sz w:val="36"/>
          <w:szCs w:val="36"/>
        </w:rPr>
        <w:t>-201</w:t>
      </w:r>
      <w:r w:rsidR="00635278">
        <w:rPr>
          <w:rFonts w:ascii="Century Schoolbook" w:hAnsi="Century Schoolbook"/>
          <w:b/>
          <w:sz w:val="36"/>
          <w:szCs w:val="36"/>
        </w:rPr>
        <w:t>9</w:t>
      </w:r>
    </w:p>
    <w:p w14:paraId="19A4F1BE" w14:textId="77777777" w:rsidR="00171BAF" w:rsidRPr="00BC4799" w:rsidRDefault="00171BAF" w:rsidP="00171BAF">
      <w:pPr>
        <w:pStyle w:val="Default"/>
        <w:jc w:val="center"/>
        <w:rPr>
          <w:rFonts w:ascii="Century Schoolbook" w:hAnsi="Century Schoolbook"/>
          <w:b/>
          <w:sz w:val="36"/>
          <w:szCs w:val="36"/>
        </w:rPr>
      </w:pPr>
    </w:p>
    <w:p w14:paraId="67DABD3E" w14:textId="77777777" w:rsidR="00171BAF" w:rsidRPr="00BC4799" w:rsidRDefault="00171BAF" w:rsidP="00171BAF">
      <w:pPr>
        <w:jc w:val="center"/>
        <w:rPr>
          <w:rFonts w:ascii="Century Schoolbook" w:hAnsi="Century Schoolbook"/>
          <w:b/>
          <w:sz w:val="40"/>
          <w:szCs w:val="40"/>
        </w:rPr>
      </w:pPr>
      <w:r>
        <w:rPr>
          <w:noProof/>
        </w:rPr>
        <w:drawing>
          <wp:inline distT="0" distB="0" distL="0" distR="0" wp14:anchorId="6A9F2229" wp14:editId="75EE7833">
            <wp:extent cx="1543050" cy="1419225"/>
            <wp:effectExtent l="0" t="0" r="0" b="9525"/>
            <wp:docPr id="3" name="Picture 3" descr="OCCNoBarN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NoBarNB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43050" cy="1419225"/>
                    </a:xfrm>
                    <a:prstGeom prst="rect">
                      <a:avLst/>
                    </a:prstGeom>
                    <a:noFill/>
                    <a:ln>
                      <a:noFill/>
                    </a:ln>
                  </pic:spPr>
                </pic:pic>
              </a:graphicData>
            </a:graphic>
          </wp:inline>
        </w:drawing>
      </w:r>
    </w:p>
    <w:p w14:paraId="4D9AEEB4" w14:textId="77777777" w:rsidR="00171BAF" w:rsidRPr="00BC4799" w:rsidRDefault="00171BAF" w:rsidP="00171BAF">
      <w:pPr>
        <w:pStyle w:val="Default"/>
        <w:jc w:val="both"/>
        <w:rPr>
          <w:rFonts w:ascii="Century Schoolbook" w:hAnsi="Century Schoolbook"/>
        </w:rPr>
      </w:pPr>
    </w:p>
    <w:p w14:paraId="4BC460E8" w14:textId="77777777" w:rsidR="00171BAF" w:rsidRPr="00BC4799" w:rsidRDefault="00171BAF" w:rsidP="00171BAF">
      <w:pPr>
        <w:pStyle w:val="Default"/>
        <w:jc w:val="both"/>
        <w:rPr>
          <w:rFonts w:ascii="Century Schoolbook" w:hAnsi="Century Schoolbook"/>
        </w:rPr>
      </w:pPr>
    </w:p>
    <w:p w14:paraId="47C6853D" w14:textId="77777777" w:rsidR="00171BAF" w:rsidRDefault="00171BAF" w:rsidP="00171BAF">
      <w:pPr>
        <w:pStyle w:val="Default"/>
        <w:jc w:val="both"/>
        <w:rPr>
          <w:rFonts w:ascii="Century Schoolbook" w:hAnsi="Century Schoolbook"/>
          <w:b/>
          <w:bCs/>
          <w:i/>
          <w:iCs/>
          <w:sz w:val="28"/>
          <w:szCs w:val="28"/>
        </w:rPr>
      </w:pPr>
      <w:r w:rsidRPr="00BC4799">
        <w:rPr>
          <w:rFonts w:ascii="Century Schoolbook" w:hAnsi="Century Schoolbook"/>
          <w:b/>
          <w:bCs/>
          <w:i/>
          <w:iCs/>
          <w:sz w:val="28"/>
          <w:szCs w:val="28"/>
        </w:rPr>
        <w:t xml:space="preserve">At a Glance </w:t>
      </w:r>
    </w:p>
    <w:p w14:paraId="25F250A6" w14:textId="77777777" w:rsidR="00171BAF" w:rsidRPr="00BC4799" w:rsidRDefault="00171BAF" w:rsidP="00171BAF">
      <w:pPr>
        <w:pStyle w:val="Default"/>
        <w:jc w:val="both"/>
        <w:rPr>
          <w:rFonts w:ascii="Century Schoolbook" w:hAnsi="Century Schoolbook"/>
          <w:b/>
          <w:bCs/>
          <w:i/>
          <w:iCs/>
          <w:sz w:val="28"/>
          <w:szCs w:val="28"/>
        </w:rPr>
      </w:pPr>
    </w:p>
    <w:p w14:paraId="5C0CC1D3" w14:textId="77777777" w:rsidR="00171BAF" w:rsidRPr="00615B2E" w:rsidRDefault="00171BAF" w:rsidP="00171BAF">
      <w:pPr>
        <w:pStyle w:val="Default"/>
        <w:jc w:val="both"/>
        <w:rPr>
          <w:rFonts w:ascii="Century Schoolbook" w:hAnsi="Century Schoolbook"/>
          <w:b/>
        </w:rPr>
      </w:pPr>
      <w:r>
        <w:rPr>
          <w:rFonts w:ascii="Century Schoolbook" w:hAnsi="Century Schoolbook"/>
          <w:b/>
        </w:rPr>
        <w:t>Office of Consumer Counsel</w:t>
      </w:r>
    </w:p>
    <w:p w14:paraId="7074AD77" w14:textId="77777777" w:rsidR="00171BAF" w:rsidRPr="00BC4799" w:rsidRDefault="004861F8" w:rsidP="00171BAF">
      <w:pPr>
        <w:pStyle w:val="Default"/>
        <w:jc w:val="both"/>
        <w:rPr>
          <w:rFonts w:ascii="Century Schoolbook" w:hAnsi="Century Schoolbook"/>
        </w:rPr>
      </w:pPr>
      <w:r>
        <w:rPr>
          <w:rFonts w:ascii="Century Schoolbook" w:hAnsi="Century Schoolbook"/>
          <w:b/>
          <w:bCs/>
        </w:rPr>
        <w:t>RICHARD E. SOBOLEWSKI</w:t>
      </w:r>
      <w:r w:rsidR="00171BAF" w:rsidRPr="00BC4799">
        <w:rPr>
          <w:rFonts w:ascii="Century Schoolbook" w:hAnsi="Century Schoolbook"/>
          <w:b/>
          <w:bCs/>
        </w:rPr>
        <w:t xml:space="preserve">, </w:t>
      </w:r>
      <w:r w:rsidRPr="001576B0">
        <w:rPr>
          <w:rFonts w:ascii="Century Schoolbook" w:hAnsi="Century Schoolbook"/>
          <w:b/>
          <w:bCs/>
          <w:i/>
        </w:rPr>
        <w:t>Interim</w:t>
      </w:r>
      <w:r>
        <w:rPr>
          <w:rFonts w:ascii="Century Schoolbook" w:hAnsi="Century Schoolbook"/>
          <w:b/>
          <w:bCs/>
        </w:rPr>
        <w:t xml:space="preserve"> </w:t>
      </w:r>
      <w:r w:rsidR="00171BAF" w:rsidRPr="00BC4799">
        <w:rPr>
          <w:rFonts w:ascii="Century Schoolbook" w:hAnsi="Century Schoolbook"/>
          <w:b/>
          <w:bCs/>
          <w:i/>
          <w:iCs/>
        </w:rPr>
        <w:t xml:space="preserve">Consumer Counsel </w:t>
      </w:r>
    </w:p>
    <w:p w14:paraId="472FAB10" w14:textId="77777777" w:rsidR="00171BAF" w:rsidRPr="00BC4799" w:rsidRDefault="00171BAF" w:rsidP="00171BAF">
      <w:pPr>
        <w:pStyle w:val="Default"/>
        <w:jc w:val="both"/>
        <w:rPr>
          <w:rFonts w:ascii="Century Schoolbook" w:hAnsi="Century Schoolbook"/>
        </w:rPr>
      </w:pPr>
      <w:r w:rsidRPr="00BC4799">
        <w:rPr>
          <w:rFonts w:ascii="Century Schoolbook" w:hAnsi="Century Schoolbook"/>
          <w:b/>
          <w:bCs/>
          <w:i/>
          <w:iCs/>
        </w:rPr>
        <w:t xml:space="preserve">Established - </w:t>
      </w:r>
      <w:r w:rsidRPr="00BC4799">
        <w:rPr>
          <w:rFonts w:ascii="Century Schoolbook" w:hAnsi="Century Schoolbook"/>
          <w:b/>
          <w:bCs/>
          <w:iCs/>
        </w:rPr>
        <w:t xml:space="preserve">1975 </w:t>
      </w:r>
    </w:p>
    <w:p w14:paraId="0AC24FF8" w14:textId="77777777" w:rsidR="00171BAF" w:rsidRPr="00BC4799" w:rsidRDefault="00171BAF" w:rsidP="00171BAF">
      <w:pPr>
        <w:pStyle w:val="Default"/>
        <w:jc w:val="both"/>
        <w:rPr>
          <w:rFonts w:ascii="Century Schoolbook" w:hAnsi="Century Schoolbook"/>
        </w:rPr>
      </w:pPr>
      <w:r w:rsidRPr="00BC4799">
        <w:rPr>
          <w:rFonts w:ascii="Century Schoolbook" w:hAnsi="Century Schoolbook"/>
          <w:b/>
          <w:bCs/>
          <w:i/>
          <w:iCs/>
        </w:rPr>
        <w:t xml:space="preserve">Statutory authority </w:t>
      </w:r>
      <w:r w:rsidRPr="00BC4799">
        <w:rPr>
          <w:rFonts w:ascii="Century Schoolbook" w:hAnsi="Century Schoolbook"/>
          <w:b/>
          <w:bCs/>
        </w:rPr>
        <w:t xml:space="preserve">- Connecticut General Statute §16-2a </w:t>
      </w:r>
    </w:p>
    <w:p w14:paraId="5B8297B0" w14:textId="77777777" w:rsidR="00171BAF" w:rsidRPr="00BC4799" w:rsidRDefault="00171BAF" w:rsidP="00171BAF">
      <w:pPr>
        <w:pStyle w:val="Default"/>
        <w:jc w:val="both"/>
        <w:rPr>
          <w:rFonts w:ascii="Century Schoolbook" w:hAnsi="Century Schoolbook"/>
        </w:rPr>
      </w:pPr>
      <w:r w:rsidRPr="00BC4799">
        <w:rPr>
          <w:rFonts w:ascii="Century Schoolbook" w:hAnsi="Century Schoolbook"/>
          <w:b/>
          <w:bCs/>
          <w:i/>
          <w:iCs/>
        </w:rPr>
        <w:t xml:space="preserve">Central office </w:t>
      </w:r>
      <w:r w:rsidRPr="00BC4799">
        <w:rPr>
          <w:rFonts w:ascii="Century Schoolbook" w:hAnsi="Century Schoolbook"/>
          <w:b/>
          <w:bCs/>
        </w:rPr>
        <w:t xml:space="preserve">- Ten Franklin Square, </w:t>
      </w:r>
      <w:r w:rsidRPr="00BC4799">
        <w:rPr>
          <w:rFonts w:ascii="Century Schoolbook" w:hAnsi="Century Schoolbook"/>
          <w:b/>
        </w:rPr>
        <w:t>New Britain, CT 06051</w:t>
      </w:r>
      <w:r w:rsidRPr="00BC4799">
        <w:rPr>
          <w:rFonts w:ascii="Century Schoolbook" w:hAnsi="Century Schoolbook"/>
        </w:rPr>
        <w:t xml:space="preserve"> </w:t>
      </w:r>
    </w:p>
    <w:p w14:paraId="3C02166D" w14:textId="77777777" w:rsidR="00171BAF" w:rsidRPr="00BC4799" w:rsidRDefault="00171BAF" w:rsidP="00171BAF">
      <w:pPr>
        <w:pStyle w:val="Default"/>
        <w:jc w:val="both"/>
        <w:rPr>
          <w:rFonts w:ascii="Century Schoolbook" w:hAnsi="Century Schoolbook"/>
        </w:rPr>
      </w:pPr>
      <w:r w:rsidRPr="00BC4799">
        <w:rPr>
          <w:rFonts w:ascii="Century Schoolbook" w:hAnsi="Century Schoolbook"/>
          <w:b/>
          <w:bCs/>
          <w:i/>
          <w:iCs/>
        </w:rPr>
        <w:t xml:space="preserve">Number of employees </w:t>
      </w:r>
      <w:r w:rsidRPr="00BC4799">
        <w:rPr>
          <w:rFonts w:ascii="Century Schoolbook" w:hAnsi="Century Schoolbook"/>
          <w:b/>
          <w:bCs/>
        </w:rPr>
        <w:t>- 1</w:t>
      </w:r>
      <w:r w:rsidR="004861F8">
        <w:rPr>
          <w:rFonts w:ascii="Century Schoolbook" w:hAnsi="Century Schoolbook"/>
          <w:b/>
          <w:bCs/>
        </w:rPr>
        <w:t>1</w:t>
      </w:r>
    </w:p>
    <w:p w14:paraId="3723251F" w14:textId="77777777" w:rsidR="00171BAF" w:rsidRPr="00BC4799" w:rsidRDefault="00171BAF" w:rsidP="00171BAF">
      <w:pPr>
        <w:spacing w:after="0" w:line="240" w:lineRule="auto"/>
        <w:jc w:val="both"/>
        <w:rPr>
          <w:rFonts w:ascii="Century Schoolbook" w:hAnsi="Century Schoolbook" w:cs="Times New Roman"/>
          <w:color w:val="1F497D"/>
          <w:sz w:val="24"/>
          <w:szCs w:val="24"/>
        </w:rPr>
      </w:pPr>
      <w:r w:rsidRPr="00BC4799">
        <w:rPr>
          <w:rFonts w:ascii="Century Schoolbook" w:hAnsi="Century Schoolbook" w:cs="Times New Roman"/>
          <w:b/>
          <w:bCs/>
          <w:i/>
          <w:iCs/>
          <w:sz w:val="24"/>
          <w:szCs w:val="24"/>
        </w:rPr>
        <w:t xml:space="preserve">Recurring operating expenses - </w:t>
      </w:r>
      <w:r w:rsidR="00E07B32" w:rsidRPr="00E07B32">
        <w:rPr>
          <w:rFonts w:ascii="Century Schoolbook" w:hAnsi="Century Schoolbook" w:cs="Times New Roman"/>
          <w:b/>
          <w:bCs/>
          <w:iCs/>
          <w:sz w:val="24"/>
          <w:szCs w:val="24"/>
        </w:rPr>
        <w:t>$</w:t>
      </w:r>
      <w:r w:rsidR="00FE6973">
        <w:rPr>
          <w:rFonts w:ascii="Century Schoolbook" w:hAnsi="Century Schoolbook" w:cs="Times New Roman"/>
          <w:b/>
          <w:bCs/>
          <w:iCs/>
          <w:sz w:val="24"/>
          <w:szCs w:val="24"/>
        </w:rPr>
        <w:t>2,513,283</w:t>
      </w:r>
    </w:p>
    <w:p w14:paraId="5A53E1B7" w14:textId="77777777" w:rsidR="00171BAF" w:rsidRPr="00BC4799" w:rsidRDefault="00171BAF" w:rsidP="00171BAF">
      <w:pPr>
        <w:spacing w:after="0" w:line="240" w:lineRule="auto"/>
        <w:jc w:val="both"/>
        <w:rPr>
          <w:rFonts w:ascii="Century Schoolbook" w:hAnsi="Century Schoolbook" w:cs="Times New Roman"/>
          <w:b/>
          <w:bCs/>
          <w:sz w:val="24"/>
          <w:szCs w:val="24"/>
        </w:rPr>
      </w:pPr>
      <w:r w:rsidRPr="00BC4799">
        <w:rPr>
          <w:rFonts w:ascii="Century Schoolbook" w:hAnsi="Century Schoolbook" w:cs="Times New Roman"/>
          <w:b/>
          <w:bCs/>
          <w:i/>
          <w:iCs/>
          <w:sz w:val="24"/>
          <w:szCs w:val="24"/>
        </w:rPr>
        <w:t>Organizational structure</w:t>
      </w:r>
      <w:r w:rsidRPr="00BC4799">
        <w:rPr>
          <w:rFonts w:ascii="Century Schoolbook" w:hAnsi="Century Schoolbook"/>
          <w:b/>
          <w:bCs/>
          <w:i/>
          <w:iCs/>
          <w:sz w:val="24"/>
          <w:szCs w:val="24"/>
        </w:rPr>
        <w:t xml:space="preserve"> </w:t>
      </w:r>
      <w:r>
        <w:rPr>
          <w:rFonts w:ascii="Century Schoolbook" w:hAnsi="Century Schoolbook" w:cs="Times New Roman"/>
          <w:b/>
          <w:bCs/>
          <w:sz w:val="24"/>
          <w:szCs w:val="24"/>
        </w:rPr>
        <w:t xml:space="preserve">– Independent </w:t>
      </w:r>
      <w:r w:rsidRPr="00BC4799">
        <w:rPr>
          <w:rFonts w:ascii="Century Schoolbook" w:hAnsi="Century Schoolbook" w:cs="Times New Roman"/>
          <w:b/>
          <w:bCs/>
          <w:sz w:val="24"/>
          <w:szCs w:val="24"/>
        </w:rPr>
        <w:t>office. Department of Energy and Environmental Protection provides administrative support pursuant to Public Act 11-80.</w:t>
      </w:r>
    </w:p>
    <w:p w14:paraId="5F06FFF2" w14:textId="77777777" w:rsidR="00171BAF" w:rsidRPr="00BC4799" w:rsidRDefault="00171BAF" w:rsidP="00171BAF">
      <w:pPr>
        <w:pStyle w:val="Default"/>
        <w:jc w:val="both"/>
        <w:rPr>
          <w:rFonts w:ascii="Century Schoolbook" w:hAnsi="Century Schoolbook"/>
        </w:rPr>
      </w:pPr>
    </w:p>
    <w:p w14:paraId="2A95D848" w14:textId="77777777" w:rsidR="00171BAF" w:rsidRPr="00BC4799" w:rsidRDefault="00171BAF" w:rsidP="00171BAF">
      <w:pPr>
        <w:pStyle w:val="Default"/>
        <w:jc w:val="both"/>
        <w:rPr>
          <w:rFonts w:ascii="Century Schoolbook" w:hAnsi="Century Schoolbook"/>
        </w:rPr>
      </w:pPr>
    </w:p>
    <w:p w14:paraId="5197152D" w14:textId="77777777" w:rsidR="00171BAF" w:rsidRPr="00BC4799" w:rsidRDefault="00171BAF" w:rsidP="00171BAF">
      <w:pPr>
        <w:pStyle w:val="Default"/>
        <w:jc w:val="center"/>
        <w:rPr>
          <w:rFonts w:ascii="Century Schoolbook" w:hAnsi="Century Schoolbook"/>
          <w:sz w:val="28"/>
          <w:szCs w:val="28"/>
        </w:rPr>
      </w:pPr>
      <w:r w:rsidRPr="00BC4799">
        <w:rPr>
          <w:rFonts w:ascii="Century Schoolbook" w:hAnsi="Century Schoolbook"/>
          <w:b/>
          <w:bCs/>
          <w:sz w:val="28"/>
          <w:szCs w:val="28"/>
        </w:rPr>
        <w:t>Mission</w:t>
      </w:r>
    </w:p>
    <w:p w14:paraId="2C144314" w14:textId="77777777" w:rsidR="00171BAF" w:rsidRPr="008578C0" w:rsidRDefault="00171BAF" w:rsidP="00171BAF">
      <w:pPr>
        <w:autoSpaceDE w:val="0"/>
        <w:autoSpaceDN w:val="0"/>
        <w:adjustRightInd w:val="0"/>
        <w:spacing w:after="0" w:line="240" w:lineRule="auto"/>
        <w:jc w:val="both"/>
        <w:rPr>
          <w:rFonts w:ascii="Century Schoolbook" w:hAnsi="Century Schoolbook" w:cs="Times New Roman"/>
          <w:color w:val="000000"/>
          <w:sz w:val="24"/>
          <w:szCs w:val="24"/>
        </w:rPr>
      </w:pPr>
    </w:p>
    <w:p w14:paraId="205E270A" w14:textId="77777777" w:rsidR="00171BAF" w:rsidRPr="008578C0" w:rsidRDefault="00171BAF" w:rsidP="00171BAF">
      <w:pPr>
        <w:spacing w:after="0" w:line="240" w:lineRule="auto"/>
        <w:jc w:val="both"/>
        <w:rPr>
          <w:rFonts w:ascii="Century Schoolbook" w:hAnsi="Century Schoolbook"/>
          <w:b/>
          <w:bCs/>
          <w:i/>
          <w:iCs/>
          <w:sz w:val="24"/>
          <w:szCs w:val="24"/>
        </w:rPr>
      </w:pPr>
      <w:r w:rsidRPr="008578C0">
        <w:rPr>
          <w:rFonts w:ascii="Century Schoolbook" w:hAnsi="Century Schoolbook" w:cs="Times New Roman"/>
          <w:i/>
          <w:iCs/>
          <w:color w:val="000000"/>
          <w:sz w:val="24"/>
          <w:szCs w:val="24"/>
        </w:rPr>
        <w:t>The Office of Consumer Counsel serves as a strong independent voice for Connecticut’s public utility and telecommunications consumers through advocacy and customer education.</w:t>
      </w:r>
    </w:p>
    <w:p w14:paraId="570C7D21" w14:textId="77777777" w:rsidR="00171BAF" w:rsidRPr="00BC4799" w:rsidRDefault="00171BAF" w:rsidP="00171BAF">
      <w:pPr>
        <w:pStyle w:val="Default"/>
        <w:jc w:val="both"/>
        <w:rPr>
          <w:rFonts w:ascii="Century Schoolbook" w:hAnsi="Century Schoolbook"/>
        </w:rPr>
      </w:pPr>
    </w:p>
    <w:p w14:paraId="1529344E" w14:textId="77777777" w:rsidR="00171BAF" w:rsidRPr="00BC4799" w:rsidRDefault="00171BAF" w:rsidP="00171BAF">
      <w:pPr>
        <w:pStyle w:val="Default"/>
        <w:jc w:val="both"/>
        <w:rPr>
          <w:rFonts w:ascii="Century Schoolbook" w:hAnsi="Century Schoolbook"/>
        </w:rPr>
      </w:pPr>
    </w:p>
    <w:p w14:paraId="68C85B97" w14:textId="77777777" w:rsidR="00171BAF" w:rsidRPr="00BC4799" w:rsidRDefault="00171BAF" w:rsidP="00171BAF">
      <w:pPr>
        <w:pStyle w:val="Default"/>
        <w:jc w:val="center"/>
        <w:rPr>
          <w:rFonts w:ascii="Century Schoolbook" w:hAnsi="Century Schoolbook"/>
          <w:b/>
          <w:bCs/>
          <w:sz w:val="28"/>
          <w:szCs w:val="28"/>
        </w:rPr>
      </w:pPr>
      <w:r w:rsidRPr="00BC4799">
        <w:rPr>
          <w:rFonts w:ascii="Century Schoolbook" w:hAnsi="Century Schoolbook"/>
          <w:b/>
          <w:bCs/>
          <w:sz w:val="28"/>
          <w:szCs w:val="28"/>
        </w:rPr>
        <w:t>Statutory Responsibility</w:t>
      </w:r>
    </w:p>
    <w:p w14:paraId="696EA617" w14:textId="77777777" w:rsidR="00171BAF" w:rsidRPr="008578C0" w:rsidRDefault="00171BAF" w:rsidP="00171BAF">
      <w:pPr>
        <w:pStyle w:val="Default"/>
        <w:jc w:val="both"/>
        <w:rPr>
          <w:rFonts w:ascii="Century Schoolbook" w:hAnsi="Century Schoolbook"/>
        </w:rPr>
      </w:pPr>
    </w:p>
    <w:p w14:paraId="54E6B252" w14:textId="77777777" w:rsidR="00171BAF" w:rsidRPr="008578C0" w:rsidRDefault="00171BAF" w:rsidP="00171BAF">
      <w:pPr>
        <w:pStyle w:val="Default"/>
        <w:jc w:val="both"/>
        <w:rPr>
          <w:rFonts w:ascii="Century Schoolbook" w:hAnsi="Century Schoolbook"/>
        </w:rPr>
      </w:pPr>
      <w:r w:rsidRPr="008578C0">
        <w:rPr>
          <w:rFonts w:ascii="Century Schoolbook" w:hAnsi="Century Schoolbook"/>
        </w:rPr>
        <w:t>The Office of Consumer Counsel’s (“OCC”) statutory responsibilities include:</w:t>
      </w:r>
    </w:p>
    <w:p w14:paraId="3153D832" w14:textId="77777777" w:rsidR="00171BAF" w:rsidRPr="008578C0" w:rsidRDefault="00171BAF" w:rsidP="00171BAF">
      <w:pPr>
        <w:pStyle w:val="Default"/>
        <w:jc w:val="both"/>
        <w:rPr>
          <w:rFonts w:ascii="Century Schoolbook" w:hAnsi="Century Schoolbook"/>
        </w:rPr>
      </w:pPr>
    </w:p>
    <w:p w14:paraId="7899B8EC" w14:textId="77777777" w:rsidR="00171BAF" w:rsidRDefault="00171BAF" w:rsidP="00171BAF">
      <w:pPr>
        <w:pStyle w:val="ListParagraph"/>
        <w:numPr>
          <w:ilvl w:val="0"/>
          <w:numId w:val="2"/>
        </w:numPr>
        <w:autoSpaceDE w:val="0"/>
        <w:autoSpaceDN w:val="0"/>
        <w:adjustRightInd w:val="0"/>
        <w:spacing w:after="47"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t xml:space="preserve">Advocating for Connecticut’s ratepayers in all matters </w:t>
      </w:r>
      <w:r>
        <w:rPr>
          <w:rFonts w:ascii="Century Schoolbook" w:hAnsi="Century Schoolbook" w:cs="Times New Roman"/>
          <w:color w:val="000000"/>
          <w:sz w:val="24"/>
          <w:szCs w:val="24"/>
        </w:rPr>
        <w:t xml:space="preserve">relating to </w:t>
      </w:r>
      <w:r w:rsidRPr="008578C0">
        <w:rPr>
          <w:rFonts w:ascii="Century Schoolbook" w:hAnsi="Century Schoolbook" w:cs="Times New Roman"/>
          <w:color w:val="000000"/>
          <w:sz w:val="24"/>
          <w:szCs w:val="24"/>
        </w:rPr>
        <w:t xml:space="preserve">public service companies, electric suppliers, and certified telecommunications providers; </w:t>
      </w:r>
    </w:p>
    <w:p w14:paraId="3C582FDE" w14:textId="77777777" w:rsidR="00171BAF" w:rsidRPr="008578C0" w:rsidRDefault="00171BAF" w:rsidP="00171BAF">
      <w:pPr>
        <w:pStyle w:val="ListParagraph"/>
        <w:autoSpaceDE w:val="0"/>
        <w:autoSpaceDN w:val="0"/>
        <w:adjustRightInd w:val="0"/>
        <w:spacing w:after="47" w:line="240" w:lineRule="auto"/>
        <w:jc w:val="both"/>
        <w:rPr>
          <w:rFonts w:ascii="Century Schoolbook" w:hAnsi="Century Schoolbook" w:cs="Times New Roman"/>
          <w:color w:val="000000"/>
          <w:sz w:val="24"/>
          <w:szCs w:val="24"/>
        </w:rPr>
      </w:pPr>
    </w:p>
    <w:p w14:paraId="1E31347D" w14:textId="77777777" w:rsidR="00171BAF" w:rsidRDefault="00171BAF" w:rsidP="00171BAF">
      <w:pPr>
        <w:pStyle w:val="ListParagraph"/>
        <w:numPr>
          <w:ilvl w:val="0"/>
          <w:numId w:val="2"/>
        </w:numPr>
        <w:autoSpaceDE w:val="0"/>
        <w:autoSpaceDN w:val="0"/>
        <w:adjustRightInd w:val="0"/>
        <w:spacing w:after="47"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lastRenderedPageBreak/>
        <w:t>Participating in any regulatory or judicial proceeding</w:t>
      </w:r>
      <w:r>
        <w:rPr>
          <w:rFonts w:ascii="Century Schoolbook" w:hAnsi="Century Schoolbook" w:cs="Times New Roman"/>
          <w:color w:val="000000"/>
          <w:sz w:val="24"/>
          <w:szCs w:val="24"/>
        </w:rPr>
        <w:t>s</w:t>
      </w:r>
      <w:r w:rsidRPr="008578C0">
        <w:rPr>
          <w:rFonts w:ascii="Century Schoolbook" w:hAnsi="Century Schoolbook" w:cs="Times New Roman"/>
          <w:color w:val="000000"/>
          <w:sz w:val="24"/>
          <w:szCs w:val="24"/>
        </w:rPr>
        <w:t xml:space="preserve">, </w:t>
      </w:r>
      <w:r w:rsidR="0010083D">
        <w:rPr>
          <w:rFonts w:ascii="Century Schoolbook" w:hAnsi="Century Schoolbook" w:cs="Times New Roman"/>
          <w:color w:val="000000"/>
          <w:sz w:val="24"/>
          <w:szCs w:val="24"/>
        </w:rPr>
        <w:t>federal or state, that</w:t>
      </w:r>
      <w:r>
        <w:rPr>
          <w:rFonts w:ascii="Century Schoolbook" w:hAnsi="Century Schoolbook" w:cs="Times New Roman"/>
          <w:color w:val="000000"/>
          <w:sz w:val="24"/>
          <w:szCs w:val="24"/>
        </w:rPr>
        <w:t xml:space="preserve"> involve</w:t>
      </w:r>
      <w:r w:rsidRPr="008578C0">
        <w:rPr>
          <w:rFonts w:ascii="Century Schoolbook" w:hAnsi="Century Schoolbook" w:cs="Times New Roman"/>
          <w:color w:val="000000"/>
          <w:sz w:val="24"/>
          <w:szCs w:val="24"/>
        </w:rPr>
        <w:t xml:space="preserve"> the interests of Connecticut </w:t>
      </w:r>
      <w:r>
        <w:rPr>
          <w:rFonts w:ascii="Century Schoolbook" w:hAnsi="Century Schoolbook" w:cs="Times New Roman"/>
          <w:color w:val="000000"/>
          <w:sz w:val="24"/>
          <w:szCs w:val="24"/>
        </w:rPr>
        <w:t xml:space="preserve">utility </w:t>
      </w:r>
      <w:r w:rsidRPr="008578C0">
        <w:rPr>
          <w:rFonts w:ascii="Century Schoolbook" w:hAnsi="Century Schoolbook" w:cs="Times New Roman"/>
          <w:color w:val="000000"/>
          <w:sz w:val="24"/>
          <w:szCs w:val="24"/>
        </w:rPr>
        <w:t xml:space="preserve">ratepayers, or matters affecting utility services provided in Connecticut; </w:t>
      </w:r>
    </w:p>
    <w:p w14:paraId="60B754E8" w14:textId="77777777" w:rsidR="00171BAF" w:rsidRPr="00640B28" w:rsidRDefault="00171BAF" w:rsidP="00171BAF">
      <w:pPr>
        <w:autoSpaceDE w:val="0"/>
        <w:autoSpaceDN w:val="0"/>
        <w:adjustRightInd w:val="0"/>
        <w:spacing w:after="47" w:line="240" w:lineRule="auto"/>
        <w:jc w:val="both"/>
        <w:rPr>
          <w:rFonts w:ascii="Century Schoolbook" w:hAnsi="Century Schoolbook" w:cs="Times New Roman"/>
          <w:color w:val="000000"/>
          <w:sz w:val="24"/>
          <w:szCs w:val="24"/>
        </w:rPr>
      </w:pPr>
    </w:p>
    <w:p w14:paraId="74413CA4" w14:textId="77777777" w:rsidR="00171BAF" w:rsidRDefault="00171BAF" w:rsidP="00171BAF">
      <w:pPr>
        <w:pStyle w:val="ListParagraph"/>
        <w:numPr>
          <w:ilvl w:val="0"/>
          <w:numId w:val="2"/>
        </w:numPr>
        <w:autoSpaceDE w:val="0"/>
        <w:autoSpaceDN w:val="0"/>
        <w:adjustRightInd w:val="0"/>
        <w:spacing w:after="47"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t xml:space="preserve">Representing </w:t>
      </w:r>
      <w:r>
        <w:rPr>
          <w:rFonts w:ascii="Century Schoolbook" w:hAnsi="Century Schoolbook" w:cs="Times New Roman"/>
          <w:color w:val="000000"/>
          <w:sz w:val="24"/>
          <w:szCs w:val="24"/>
        </w:rPr>
        <w:t xml:space="preserve">utility </w:t>
      </w:r>
      <w:r w:rsidRPr="008578C0">
        <w:rPr>
          <w:rFonts w:ascii="Century Schoolbook" w:hAnsi="Century Schoolbook" w:cs="Times New Roman"/>
          <w:color w:val="000000"/>
          <w:sz w:val="24"/>
          <w:szCs w:val="24"/>
        </w:rPr>
        <w:t xml:space="preserve">ratepayers as a party to each contested docket before the Public Utilities Regulatory Authority (“PURA”); </w:t>
      </w:r>
    </w:p>
    <w:p w14:paraId="05C06328" w14:textId="77777777" w:rsidR="00171BAF" w:rsidRPr="00640B28" w:rsidRDefault="00171BAF" w:rsidP="00171BAF">
      <w:pPr>
        <w:autoSpaceDE w:val="0"/>
        <w:autoSpaceDN w:val="0"/>
        <w:adjustRightInd w:val="0"/>
        <w:spacing w:after="47" w:line="240" w:lineRule="auto"/>
        <w:jc w:val="both"/>
        <w:rPr>
          <w:rFonts w:ascii="Century Schoolbook" w:hAnsi="Century Schoolbook" w:cs="Times New Roman"/>
          <w:color w:val="000000"/>
          <w:sz w:val="24"/>
          <w:szCs w:val="24"/>
        </w:rPr>
      </w:pPr>
    </w:p>
    <w:p w14:paraId="40A8A782" w14:textId="77777777" w:rsidR="00171BAF" w:rsidRDefault="00171BAF" w:rsidP="00171BAF">
      <w:pPr>
        <w:pStyle w:val="ListParagraph"/>
        <w:numPr>
          <w:ilvl w:val="0"/>
          <w:numId w:val="2"/>
        </w:numPr>
        <w:autoSpaceDE w:val="0"/>
        <w:autoSpaceDN w:val="0"/>
        <w:adjustRightInd w:val="0"/>
        <w:spacing w:after="47"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t>Appealing decisions, orders, or authorizations in any state regulatory proceeding</w:t>
      </w:r>
      <w:r>
        <w:rPr>
          <w:rFonts w:ascii="Century Schoolbook" w:hAnsi="Century Schoolbook" w:cs="Times New Roman"/>
          <w:color w:val="000000"/>
          <w:sz w:val="24"/>
          <w:szCs w:val="24"/>
        </w:rPr>
        <w:t xml:space="preserve"> impacting utility ratepayers;</w:t>
      </w:r>
      <w:r w:rsidRPr="008578C0">
        <w:rPr>
          <w:rFonts w:ascii="Century Schoolbook" w:hAnsi="Century Schoolbook" w:cs="Times New Roman"/>
          <w:color w:val="000000"/>
          <w:sz w:val="24"/>
          <w:szCs w:val="24"/>
        </w:rPr>
        <w:t xml:space="preserve"> </w:t>
      </w:r>
    </w:p>
    <w:p w14:paraId="212F05FD" w14:textId="77777777" w:rsidR="00171BAF" w:rsidRPr="00640B28" w:rsidRDefault="00171BAF" w:rsidP="00171BAF">
      <w:pPr>
        <w:autoSpaceDE w:val="0"/>
        <w:autoSpaceDN w:val="0"/>
        <w:adjustRightInd w:val="0"/>
        <w:spacing w:after="47" w:line="240" w:lineRule="auto"/>
        <w:jc w:val="both"/>
        <w:rPr>
          <w:rFonts w:ascii="Century Schoolbook" w:hAnsi="Century Schoolbook" w:cs="Times New Roman"/>
          <w:color w:val="000000"/>
          <w:sz w:val="24"/>
          <w:szCs w:val="24"/>
        </w:rPr>
      </w:pPr>
    </w:p>
    <w:p w14:paraId="240573A2" w14:textId="77777777" w:rsidR="00171BAF" w:rsidRDefault="00171BAF" w:rsidP="00171BAF">
      <w:pPr>
        <w:pStyle w:val="ListParagraph"/>
        <w:numPr>
          <w:ilvl w:val="0"/>
          <w:numId w:val="2"/>
        </w:numPr>
        <w:autoSpaceDE w:val="0"/>
        <w:autoSpaceDN w:val="0"/>
        <w:adjustRightInd w:val="0"/>
        <w:spacing w:after="0"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t>Addressing issues involving rate increases an</w:t>
      </w:r>
      <w:r>
        <w:rPr>
          <w:rFonts w:ascii="Century Schoolbook" w:hAnsi="Century Schoolbook" w:cs="Times New Roman"/>
          <w:color w:val="000000"/>
          <w:sz w:val="24"/>
          <w:szCs w:val="24"/>
        </w:rPr>
        <w:t>d ratepayer-funded programs, as well as</w:t>
      </w:r>
      <w:r w:rsidRPr="008578C0">
        <w:rPr>
          <w:rFonts w:ascii="Century Schoolbook" w:hAnsi="Century Schoolbook" w:cs="Times New Roman"/>
          <w:color w:val="000000"/>
          <w:sz w:val="24"/>
          <w:szCs w:val="24"/>
        </w:rPr>
        <w:t xml:space="preserve"> matters concerning the reliability, maintenance, operations, infrastructure, and quality of service of utility companies, suppliers and providers;</w:t>
      </w:r>
      <w:r>
        <w:rPr>
          <w:rFonts w:ascii="Century Schoolbook" w:hAnsi="Century Schoolbook" w:cs="Times New Roman"/>
          <w:color w:val="000000"/>
          <w:sz w:val="24"/>
          <w:szCs w:val="24"/>
        </w:rPr>
        <w:t xml:space="preserve"> and</w:t>
      </w:r>
    </w:p>
    <w:p w14:paraId="0031D497" w14:textId="77777777" w:rsidR="00171BAF" w:rsidRPr="00640B28" w:rsidRDefault="00171BAF" w:rsidP="00171BAF">
      <w:pPr>
        <w:autoSpaceDE w:val="0"/>
        <w:autoSpaceDN w:val="0"/>
        <w:adjustRightInd w:val="0"/>
        <w:spacing w:after="0" w:line="240" w:lineRule="auto"/>
        <w:jc w:val="both"/>
        <w:rPr>
          <w:rFonts w:ascii="Century Schoolbook" w:hAnsi="Century Schoolbook" w:cs="Times New Roman"/>
          <w:color w:val="000000"/>
          <w:sz w:val="24"/>
          <w:szCs w:val="24"/>
        </w:rPr>
      </w:pPr>
    </w:p>
    <w:p w14:paraId="12B543F4" w14:textId="77777777" w:rsidR="00171BAF" w:rsidRPr="008578C0" w:rsidRDefault="00171BAF" w:rsidP="00171BAF">
      <w:pPr>
        <w:pStyle w:val="ListParagraph"/>
        <w:numPr>
          <w:ilvl w:val="0"/>
          <w:numId w:val="2"/>
        </w:numPr>
        <w:autoSpaceDE w:val="0"/>
        <w:autoSpaceDN w:val="0"/>
        <w:adjustRightInd w:val="0"/>
        <w:spacing w:after="0" w:line="240" w:lineRule="auto"/>
        <w:jc w:val="both"/>
        <w:rPr>
          <w:rFonts w:ascii="Century Schoolbook" w:hAnsi="Century Schoolbook" w:cs="Times New Roman"/>
          <w:color w:val="000000"/>
          <w:sz w:val="24"/>
          <w:szCs w:val="24"/>
        </w:rPr>
      </w:pPr>
      <w:r w:rsidRPr="008578C0">
        <w:rPr>
          <w:rFonts w:ascii="Century Schoolbook" w:hAnsi="Century Schoolbook" w:cs="Times New Roman"/>
          <w:color w:val="000000"/>
          <w:sz w:val="24"/>
          <w:szCs w:val="24"/>
        </w:rPr>
        <w:t>Working actively with the</w:t>
      </w:r>
      <w:r>
        <w:rPr>
          <w:rFonts w:ascii="Century Schoolbook" w:hAnsi="Century Schoolbook" w:cs="Times New Roman"/>
          <w:color w:val="000000"/>
          <w:sz w:val="24"/>
          <w:szCs w:val="24"/>
        </w:rPr>
        <w:t xml:space="preserve"> Connecticut General Assembly, including </w:t>
      </w:r>
      <w:r w:rsidRPr="008578C0">
        <w:rPr>
          <w:rFonts w:ascii="Century Schoolbook" w:hAnsi="Century Schoolbook" w:cs="Times New Roman"/>
          <w:color w:val="000000"/>
          <w:sz w:val="24"/>
          <w:szCs w:val="24"/>
        </w:rPr>
        <w:t>the Energy and Technology Committee, in developing utility-related legislation in the best interests of consumers.</w:t>
      </w:r>
    </w:p>
    <w:p w14:paraId="4EFCA9BA" w14:textId="77777777" w:rsidR="00171BAF" w:rsidRPr="008578C0" w:rsidRDefault="00171BAF" w:rsidP="00171BAF">
      <w:pPr>
        <w:pStyle w:val="ListParagraph"/>
        <w:autoSpaceDE w:val="0"/>
        <w:autoSpaceDN w:val="0"/>
        <w:adjustRightInd w:val="0"/>
        <w:spacing w:after="0" w:line="240" w:lineRule="auto"/>
        <w:jc w:val="both"/>
        <w:rPr>
          <w:rFonts w:ascii="Century Schoolbook" w:hAnsi="Century Schoolbook" w:cs="Times New Roman"/>
          <w:color w:val="000000"/>
          <w:sz w:val="24"/>
          <w:szCs w:val="24"/>
        </w:rPr>
      </w:pPr>
    </w:p>
    <w:p w14:paraId="4E0834B8" w14:textId="77777777" w:rsidR="00171BAF" w:rsidRPr="00ED2A5B" w:rsidRDefault="00171BAF" w:rsidP="00171BAF">
      <w:pPr>
        <w:pStyle w:val="Default"/>
        <w:jc w:val="both"/>
        <w:rPr>
          <w:rFonts w:ascii="Century Schoolbook" w:hAnsi="Century Schoolbook"/>
          <w:color w:val="auto"/>
        </w:rPr>
      </w:pPr>
      <w:r w:rsidRPr="008578C0">
        <w:rPr>
          <w:rFonts w:ascii="Century Schoolbook" w:hAnsi="Century Schoolbook"/>
          <w:color w:val="auto"/>
        </w:rPr>
        <w:t xml:space="preserve">In addition to these statutory responsibilities, as of July 1, 2015, the Office of State Broadband </w:t>
      </w:r>
      <w:r>
        <w:rPr>
          <w:rFonts w:ascii="Century Schoolbook" w:hAnsi="Century Schoolbook"/>
          <w:color w:val="auto"/>
        </w:rPr>
        <w:t xml:space="preserve">(“SBO”) </w:t>
      </w:r>
      <w:r w:rsidRPr="008578C0">
        <w:rPr>
          <w:rFonts w:ascii="Century Schoolbook" w:hAnsi="Century Schoolbook"/>
          <w:color w:val="auto"/>
        </w:rPr>
        <w:t xml:space="preserve">was established </w:t>
      </w:r>
      <w:r>
        <w:rPr>
          <w:rFonts w:ascii="Century Schoolbook" w:hAnsi="Century Schoolbook"/>
          <w:color w:val="auto"/>
        </w:rPr>
        <w:t xml:space="preserve">within OCC </w:t>
      </w:r>
      <w:r w:rsidRPr="008578C0">
        <w:rPr>
          <w:rFonts w:ascii="Century Schoolbook" w:hAnsi="Century Schoolbook"/>
          <w:color w:val="auto"/>
        </w:rPr>
        <w:t xml:space="preserve">by the General Assembly. </w:t>
      </w:r>
      <w:r>
        <w:rPr>
          <w:rFonts w:ascii="Century Schoolbook" w:hAnsi="Century Schoolbook"/>
          <w:color w:val="auto"/>
        </w:rPr>
        <w:t xml:space="preserve"> SBO </w:t>
      </w:r>
      <w:r w:rsidRPr="008578C0">
        <w:rPr>
          <w:rFonts w:ascii="Century Schoolbook" w:hAnsi="Century Schoolbook"/>
          <w:color w:val="auto"/>
        </w:rPr>
        <w:t>is responsible for facilitating the availability of broadband access to every state citizen and increasing access to and adoption of high-speed broadband internet access networks in Connecticut</w:t>
      </w:r>
      <w:r w:rsidRPr="00ED2A5B">
        <w:rPr>
          <w:rFonts w:ascii="Century Schoolbook" w:hAnsi="Century Schoolbook"/>
          <w:color w:val="auto"/>
        </w:rPr>
        <w:t>.  This is further discussed below.</w:t>
      </w:r>
    </w:p>
    <w:p w14:paraId="2BDB5554" w14:textId="77777777" w:rsidR="00171BAF" w:rsidRDefault="00171BAF" w:rsidP="00171BAF">
      <w:pPr>
        <w:pStyle w:val="Default"/>
        <w:jc w:val="center"/>
        <w:rPr>
          <w:rFonts w:ascii="Century Schoolbook" w:hAnsi="Century Schoolbook"/>
          <w:b/>
          <w:bCs/>
          <w:sz w:val="28"/>
          <w:szCs w:val="28"/>
        </w:rPr>
      </w:pPr>
    </w:p>
    <w:p w14:paraId="1865533B" w14:textId="77777777" w:rsidR="00171BAF" w:rsidRDefault="00171BAF" w:rsidP="00171BAF">
      <w:pPr>
        <w:pStyle w:val="Default"/>
        <w:jc w:val="center"/>
        <w:rPr>
          <w:rFonts w:ascii="Century Schoolbook" w:hAnsi="Century Schoolbook"/>
          <w:b/>
          <w:bCs/>
          <w:sz w:val="28"/>
          <w:szCs w:val="28"/>
        </w:rPr>
      </w:pPr>
    </w:p>
    <w:p w14:paraId="0236BE80" w14:textId="77777777" w:rsidR="00171BAF" w:rsidRPr="00BC4799" w:rsidRDefault="00171BAF" w:rsidP="00171BAF">
      <w:pPr>
        <w:pStyle w:val="Default"/>
        <w:jc w:val="center"/>
        <w:rPr>
          <w:rFonts w:ascii="Century Schoolbook" w:hAnsi="Century Schoolbook"/>
          <w:b/>
          <w:bCs/>
          <w:sz w:val="28"/>
          <w:szCs w:val="28"/>
        </w:rPr>
      </w:pPr>
      <w:r w:rsidRPr="00BC4799">
        <w:rPr>
          <w:rFonts w:ascii="Century Schoolbook" w:hAnsi="Century Schoolbook"/>
          <w:b/>
          <w:bCs/>
          <w:sz w:val="28"/>
          <w:szCs w:val="28"/>
        </w:rPr>
        <w:t>Improvements/Achievements Fiscal Year 201</w:t>
      </w:r>
      <w:r w:rsidR="004861F8">
        <w:rPr>
          <w:rFonts w:ascii="Century Schoolbook" w:hAnsi="Century Schoolbook"/>
          <w:b/>
          <w:bCs/>
          <w:sz w:val="28"/>
          <w:szCs w:val="28"/>
        </w:rPr>
        <w:t>8</w:t>
      </w:r>
      <w:r w:rsidRPr="00BC4799">
        <w:rPr>
          <w:rFonts w:ascii="Century Schoolbook" w:hAnsi="Century Schoolbook"/>
          <w:b/>
          <w:bCs/>
          <w:sz w:val="28"/>
          <w:szCs w:val="28"/>
        </w:rPr>
        <w:t xml:space="preserve"> – 201</w:t>
      </w:r>
      <w:r w:rsidR="004861F8">
        <w:rPr>
          <w:rFonts w:ascii="Century Schoolbook" w:hAnsi="Century Schoolbook"/>
          <w:b/>
          <w:bCs/>
          <w:sz w:val="28"/>
          <w:szCs w:val="28"/>
        </w:rPr>
        <w:t>9</w:t>
      </w:r>
    </w:p>
    <w:p w14:paraId="0936F398" w14:textId="77777777" w:rsidR="00171BAF" w:rsidRPr="008578C0" w:rsidRDefault="00171BAF" w:rsidP="00171BAF">
      <w:pPr>
        <w:pStyle w:val="Default"/>
        <w:jc w:val="both"/>
        <w:rPr>
          <w:rFonts w:ascii="Century Schoolbook" w:hAnsi="Century Schoolbook"/>
        </w:rPr>
      </w:pPr>
    </w:p>
    <w:p w14:paraId="1C2BBF74" w14:textId="77777777" w:rsidR="00FB4A0B" w:rsidRDefault="00171BAF" w:rsidP="00FB4A0B">
      <w:r>
        <w:rPr>
          <w:rFonts w:ascii="Century Schoolbook" w:hAnsi="Century Schoolbook"/>
        </w:rPr>
        <w:t>In Fiscal Year 201</w:t>
      </w:r>
      <w:r w:rsidR="004861F8">
        <w:rPr>
          <w:rFonts w:ascii="Century Schoolbook" w:hAnsi="Century Schoolbook"/>
        </w:rPr>
        <w:t>8</w:t>
      </w:r>
      <w:r>
        <w:rPr>
          <w:rFonts w:ascii="Century Schoolbook" w:hAnsi="Century Schoolbook"/>
        </w:rPr>
        <w:t>-201</w:t>
      </w:r>
      <w:r w:rsidR="004861F8">
        <w:rPr>
          <w:rFonts w:ascii="Century Schoolbook" w:hAnsi="Century Schoolbook"/>
        </w:rPr>
        <w:t>9</w:t>
      </w:r>
      <w:r w:rsidRPr="008578C0">
        <w:rPr>
          <w:rFonts w:ascii="Century Schoolbook" w:hAnsi="Century Schoolbook"/>
        </w:rPr>
        <w:t xml:space="preserve">, OCC continued to operate as a fully independent state agency committed to effectively carrying out its statutory mandate. </w:t>
      </w:r>
      <w:r>
        <w:rPr>
          <w:rFonts w:ascii="Century Schoolbook" w:hAnsi="Century Schoolbook"/>
        </w:rPr>
        <w:t>Despite operating with its lowest level of staff in decades, the office continues to work diligently to fulfill its mission.</w:t>
      </w:r>
      <w:r w:rsidR="00410F8E">
        <w:rPr>
          <w:rFonts w:ascii="Century Schoolbook" w:hAnsi="Century Schoolbook"/>
        </w:rPr>
        <w:t xml:space="preserve"> </w:t>
      </w:r>
      <w:r w:rsidR="00FB4A0B" w:rsidRPr="00BD167A">
        <w:rPr>
          <w:rFonts w:ascii="Century Schoolbook" w:hAnsi="Century Schoolbook"/>
        </w:rPr>
        <w:t>This Report covers July 2018 - July 2019.  Note that Consumer Counsel Elin Swanson Katz resigned as of July 5, 2019.  OCC Director of Technical Analysis Richard Sobolewski was appointed Interim Consumer Counsel as of that date.</w:t>
      </w:r>
    </w:p>
    <w:p w14:paraId="555C7635" w14:textId="7C3F1129" w:rsidR="00171BAF" w:rsidRPr="008578C0" w:rsidRDefault="00171BAF" w:rsidP="00171BAF">
      <w:pPr>
        <w:pStyle w:val="Default"/>
        <w:jc w:val="both"/>
        <w:rPr>
          <w:rFonts w:ascii="Century Schoolbook" w:hAnsi="Century Schoolbook"/>
        </w:rPr>
      </w:pPr>
      <w:r w:rsidRPr="008578C0">
        <w:rPr>
          <w:rFonts w:ascii="Century Schoolbook" w:hAnsi="Century Schoolbook"/>
        </w:rPr>
        <w:t xml:space="preserve">OCC’s specific achievements this Fiscal Year include: </w:t>
      </w:r>
    </w:p>
    <w:p w14:paraId="572FBF3C" w14:textId="77777777" w:rsidR="00171BAF" w:rsidRDefault="00171BAF" w:rsidP="00171BAF">
      <w:pPr>
        <w:pStyle w:val="Default"/>
        <w:jc w:val="both"/>
        <w:rPr>
          <w:rFonts w:ascii="Century Schoolbook" w:hAnsi="Century Schoolbook"/>
        </w:rPr>
      </w:pPr>
    </w:p>
    <w:p w14:paraId="5DC83936" w14:textId="77777777" w:rsidR="00171BAF" w:rsidRPr="00BC4799" w:rsidRDefault="00171BAF" w:rsidP="00171BAF">
      <w:pPr>
        <w:pStyle w:val="Default"/>
        <w:jc w:val="both"/>
        <w:rPr>
          <w:rFonts w:ascii="Century Schoolbook" w:hAnsi="Century Schoolbook"/>
          <w:b/>
          <w:sz w:val="23"/>
          <w:szCs w:val="23"/>
          <w:u w:val="single"/>
        </w:rPr>
      </w:pPr>
    </w:p>
    <w:p w14:paraId="6547B358" w14:textId="0748E0B8" w:rsidR="00171BAF" w:rsidRDefault="00171BAF" w:rsidP="007974A6">
      <w:pPr>
        <w:pStyle w:val="Default"/>
        <w:numPr>
          <w:ilvl w:val="0"/>
          <w:numId w:val="4"/>
        </w:numPr>
        <w:adjustRightInd/>
        <w:ind w:left="360"/>
        <w:jc w:val="both"/>
        <w:rPr>
          <w:rFonts w:ascii="Century Schoolbook" w:hAnsi="Century Schoolbook"/>
          <w:color w:val="auto"/>
          <w:sz w:val="23"/>
          <w:szCs w:val="23"/>
        </w:rPr>
      </w:pPr>
      <w:r w:rsidRPr="00E95A51">
        <w:rPr>
          <w:rFonts w:ascii="Century Schoolbook" w:hAnsi="Century Schoolbook"/>
          <w:b/>
          <w:bCs/>
          <w:color w:val="auto"/>
          <w:sz w:val="23"/>
          <w:szCs w:val="23"/>
          <w:u w:val="single"/>
        </w:rPr>
        <w:t>Savings to Consumers</w:t>
      </w:r>
      <w:r w:rsidRPr="00E95A51">
        <w:rPr>
          <w:rFonts w:ascii="Century Schoolbook" w:hAnsi="Century Schoolbook"/>
          <w:color w:val="auto"/>
          <w:sz w:val="23"/>
          <w:szCs w:val="23"/>
        </w:rPr>
        <w:t xml:space="preserve">: </w:t>
      </w:r>
      <w:r>
        <w:rPr>
          <w:rFonts w:ascii="Century Schoolbook" w:hAnsi="Century Schoolbook"/>
          <w:color w:val="auto"/>
          <w:sz w:val="23"/>
          <w:szCs w:val="23"/>
        </w:rPr>
        <w:t>OCC a</w:t>
      </w:r>
      <w:r w:rsidRPr="00E95A51">
        <w:rPr>
          <w:rFonts w:ascii="Century Schoolbook" w:hAnsi="Century Schoolbook"/>
          <w:color w:val="auto"/>
          <w:sz w:val="23"/>
          <w:szCs w:val="23"/>
        </w:rPr>
        <w:t>c</w:t>
      </w:r>
      <w:r>
        <w:rPr>
          <w:rFonts w:ascii="Century Schoolbook" w:hAnsi="Century Schoolbook"/>
          <w:color w:val="auto"/>
          <w:sz w:val="23"/>
          <w:szCs w:val="23"/>
        </w:rPr>
        <w:t>hieved over $</w:t>
      </w:r>
      <w:r w:rsidR="00FE6973">
        <w:rPr>
          <w:rFonts w:ascii="Century Schoolbook" w:hAnsi="Century Schoolbook"/>
          <w:color w:val="auto"/>
          <w:sz w:val="23"/>
          <w:szCs w:val="23"/>
        </w:rPr>
        <w:t>425</w:t>
      </w:r>
      <w:r w:rsidR="00FE6973" w:rsidRPr="00E95A51">
        <w:rPr>
          <w:rFonts w:ascii="Century Schoolbook" w:hAnsi="Century Schoolbook"/>
          <w:color w:val="auto"/>
          <w:sz w:val="23"/>
          <w:szCs w:val="23"/>
        </w:rPr>
        <w:t xml:space="preserve"> </w:t>
      </w:r>
      <w:r w:rsidRPr="00E95A51">
        <w:rPr>
          <w:rFonts w:ascii="Century Schoolbook" w:hAnsi="Century Schoolbook"/>
          <w:color w:val="auto"/>
          <w:sz w:val="23"/>
          <w:szCs w:val="23"/>
        </w:rPr>
        <w:t>million dollars in direct savings to Con</w:t>
      </w:r>
      <w:r>
        <w:rPr>
          <w:rFonts w:ascii="Century Schoolbook" w:hAnsi="Century Schoolbook"/>
          <w:color w:val="auto"/>
          <w:sz w:val="23"/>
          <w:szCs w:val="23"/>
        </w:rPr>
        <w:t>necticut ratepayers in the 201</w:t>
      </w:r>
      <w:r w:rsidR="00FE6973">
        <w:rPr>
          <w:rFonts w:ascii="Century Schoolbook" w:hAnsi="Century Schoolbook"/>
          <w:color w:val="auto"/>
          <w:sz w:val="23"/>
          <w:szCs w:val="23"/>
        </w:rPr>
        <w:t>8</w:t>
      </w:r>
      <w:r>
        <w:rPr>
          <w:rFonts w:ascii="Century Schoolbook" w:hAnsi="Century Schoolbook"/>
          <w:color w:val="auto"/>
          <w:sz w:val="23"/>
          <w:szCs w:val="23"/>
        </w:rPr>
        <w:t>-201</w:t>
      </w:r>
      <w:r w:rsidR="00FE6973">
        <w:rPr>
          <w:rFonts w:ascii="Century Schoolbook" w:hAnsi="Century Schoolbook"/>
          <w:color w:val="auto"/>
          <w:sz w:val="23"/>
          <w:szCs w:val="23"/>
        </w:rPr>
        <w:t>9</w:t>
      </w:r>
      <w:r>
        <w:rPr>
          <w:rFonts w:ascii="Century Schoolbook" w:hAnsi="Century Schoolbook"/>
          <w:color w:val="auto"/>
          <w:sz w:val="23"/>
          <w:szCs w:val="23"/>
        </w:rPr>
        <w:t xml:space="preserve"> Fiscal Y</w:t>
      </w:r>
      <w:r w:rsidRPr="00E95A51">
        <w:rPr>
          <w:rFonts w:ascii="Century Schoolbook" w:hAnsi="Century Schoolbook"/>
          <w:color w:val="auto"/>
          <w:sz w:val="23"/>
          <w:szCs w:val="23"/>
        </w:rPr>
        <w:t xml:space="preserve">ear through OCC’s advocacy (along with other </w:t>
      </w:r>
      <w:r>
        <w:rPr>
          <w:rFonts w:ascii="Century Schoolbook" w:hAnsi="Century Schoolbook"/>
          <w:color w:val="auto"/>
          <w:sz w:val="23"/>
          <w:szCs w:val="23"/>
        </w:rPr>
        <w:t xml:space="preserve">allies and stakeholders, including fellow state agencies) in dockets before </w:t>
      </w:r>
      <w:r w:rsidRPr="00E95A51">
        <w:rPr>
          <w:rFonts w:ascii="Century Schoolbook" w:hAnsi="Century Schoolbook"/>
          <w:color w:val="auto"/>
          <w:sz w:val="23"/>
          <w:szCs w:val="23"/>
        </w:rPr>
        <w:t xml:space="preserve">PURA, court decisions, and advocacy in matters before </w:t>
      </w:r>
      <w:r>
        <w:rPr>
          <w:rFonts w:ascii="Century Schoolbook" w:hAnsi="Century Schoolbook"/>
          <w:color w:val="auto"/>
          <w:sz w:val="23"/>
          <w:szCs w:val="23"/>
        </w:rPr>
        <w:t>the Federal Energy Regulatory Commission (“</w:t>
      </w:r>
      <w:r w:rsidRPr="00E95A51">
        <w:rPr>
          <w:rFonts w:ascii="Century Schoolbook" w:hAnsi="Century Schoolbook"/>
          <w:color w:val="auto"/>
          <w:sz w:val="23"/>
          <w:szCs w:val="23"/>
        </w:rPr>
        <w:t>FERC</w:t>
      </w:r>
      <w:r>
        <w:rPr>
          <w:rFonts w:ascii="Century Schoolbook" w:hAnsi="Century Schoolbook"/>
          <w:color w:val="auto"/>
          <w:sz w:val="23"/>
          <w:szCs w:val="23"/>
        </w:rPr>
        <w:t>”),</w:t>
      </w:r>
      <w:r w:rsidRPr="00E95A51">
        <w:rPr>
          <w:rFonts w:ascii="Century Schoolbook" w:hAnsi="Century Schoolbook"/>
          <w:color w:val="auto"/>
          <w:sz w:val="23"/>
          <w:szCs w:val="23"/>
        </w:rPr>
        <w:t xml:space="preserve"> including the following:</w:t>
      </w:r>
    </w:p>
    <w:p w14:paraId="0AB811EF" w14:textId="77777777" w:rsidR="00171BAF" w:rsidRPr="00E95A51" w:rsidRDefault="00171BAF" w:rsidP="007974A6">
      <w:pPr>
        <w:pStyle w:val="Default"/>
        <w:adjustRightInd/>
        <w:ind w:left="360" w:hanging="360"/>
        <w:jc w:val="both"/>
        <w:rPr>
          <w:rFonts w:ascii="Century Schoolbook" w:hAnsi="Century Schoolbook"/>
          <w:color w:val="auto"/>
          <w:sz w:val="23"/>
          <w:szCs w:val="23"/>
        </w:rPr>
      </w:pPr>
    </w:p>
    <w:p w14:paraId="3053C6C3" w14:textId="609C7A5B" w:rsidR="00A50CD0" w:rsidRPr="001224B2" w:rsidRDefault="00A50CD0"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w:t>
      </w:r>
      <w:r w:rsidR="00FE6973" w:rsidRPr="001224B2">
        <w:rPr>
          <w:rFonts w:ascii="Century Schoolbook" w:hAnsi="Century Schoolbook"/>
          <w:color w:val="auto"/>
        </w:rPr>
        <w:t>1</w:t>
      </w:r>
      <w:r w:rsidR="00FE6973">
        <w:rPr>
          <w:rFonts w:ascii="Century Schoolbook" w:hAnsi="Century Schoolbook"/>
          <w:color w:val="auto"/>
        </w:rPr>
        <w:t>71</w:t>
      </w:r>
      <w:r w:rsidRPr="001224B2">
        <w:rPr>
          <w:rFonts w:ascii="Century Schoolbook" w:hAnsi="Century Schoolbook"/>
          <w:color w:val="auto"/>
        </w:rPr>
        <w:t xml:space="preserve"> million in annual savings from the  </w:t>
      </w:r>
      <w:proofErr w:type="spellStart"/>
      <w:r w:rsidRPr="001224B2">
        <w:rPr>
          <w:rFonts w:ascii="Century Schoolbook" w:hAnsi="Century Schoolbook"/>
          <w:color w:val="auto"/>
        </w:rPr>
        <w:t>Eversource</w:t>
      </w:r>
      <w:proofErr w:type="spellEnd"/>
      <w:r w:rsidRPr="001224B2">
        <w:rPr>
          <w:rFonts w:ascii="Century Schoolbook" w:hAnsi="Century Schoolbook"/>
          <w:color w:val="auto"/>
        </w:rPr>
        <w:t xml:space="preserve"> rate case settlement; </w:t>
      </w:r>
    </w:p>
    <w:p w14:paraId="18FCFAB0" w14:textId="6E0EDEC8" w:rsidR="00A50CD0" w:rsidRPr="001224B2" w:rsidRDefault="00A50CD0"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w:t>
      </w:r>
      <w:r w:rsidR="006A6072">
        <w:rPr>
          <w:rFonts w:ascii="Century Schoolbook" w:hAnsi="Century Schoolbook"/>
          <w:color w:val="auto"/>
        </w:rPr>
        <w:t>6</w:t>
      </w:r>
      <w:r w:rsidRPr="001224B2">
        <w:rPr>
          <w:rFonts w:ascii="Century Schoolbook" w:hAnsi="Century Schoolbook"/>
          <w:color w:val="auto"/>
        </w:rPr>
        <w:t xml:space="preserve"> million in ratepayer benefits for Southern Connecticut Gas Company customers for </w:t>
      </w:r>
      <w:r w:rsidR="0010083D" w:rsidRPr="001224B2">
        <w:rPr>
          <w:rFonts w:ascii="Century Schoolbook" w:hAnsi="Century Schoolbook"/>
          <w:color w:val="auto"/>
        </w:rPr>
        <w:t xml:space="preserve">the </w:t>
      </w:r>
      <w:r w:rsidRPr="001224B2">
        <w:rPr>
          <w:rFonts w:ascii="Century Schoolbook" w:hAnsi="Century Schoolbook"/>
          <w:color w:val="auto"/>
        </w:rPr>
        <w:t xml:space="preserve">first year of </w:t>
      </w:r>
      <w:r w:rsidR="0010083D" w:rsidRPr="001224B2">
        <w:rPr>
          <w:rFonts w:ascii="Century Schoolbook" w:hAnsi="Century Schoolbook"/>
          <w:color w:val="auto"/>
        </w:rPr>
        <w:t xml:space="preserve">the </w:t>
      </w:r>
      <w:r w:rsidRPr="001224B2">
        <w:rPr>
          <w:rFonts w:ascii="Century Schoolbook" w:hAnsi="Century Schoolbook"/>
          <w:color w:val="auto"/>
        </w:rPr>
        <w:t>rate plan approved in rate case settlement;</w:t>
      </w:r>
    </w:p>
    <w:p w14:paraId="421C8A59" w14:textId="48BF9881" w:rsidR="00FE6973" w:rsidRDefault="00FE6973" w:rsidP="003F7DBA">
      <w:pPr>
        <w:pStyle w:val="Default"/>
        <w:numPr>
          <w:ilvl w:val="1"/>
          <w:numId w:val="14"/>
        </w:numPr>
        <w:adjustRightInd/>
        <w:ind w:hanging="810"/>
        <w:jc w:val="both"/>
        <w:rPr>
          <w:rFonts w:ascii="Century Schoolbook" w:hAnsi="Century Schoolbook"/>
          <w:color w:val="auto"/>
        </w:rPr>
      </w:pPr>
      <w:r w:rsidRPr="00FE6973">
        <w:rPr>
          <w:rFonts w:ascii="Century Schoolbook" w:hAnsi="Century Schoolbook"/>
          <w:color w:val="auto"/>
        </w:rPr>
        <w:t>$</w:t>
      </w:r>
      <w:r>
        <w:rPr>
          <w:rFonts w:ascii="Century Schoolbook" w:hAnsi="Century Schoolbook"/>
          <w:color w:val="auto"/>
        </w:rPr>
        <w:t>48</w:t>
      </w:r>
      <w:r w:rsidRPr="00FE6973">
        <w:rPr>
          <w:rFonts w:ascii="Century Schoolbook" w:hAnsi="Century Schoolbook"/>
          <w:color w:val="auto"/>
        </w:rPr>
        <w:t xml:space="preserve"> million in ratepayer benefits for </w:t>
      </w:r>
      <w:r w:rsidR="006A6072">
        <w:rPr>
          <w:rFonts w:ascii="Century Schoolbook" w:hAnsi="Century Schoolbook"/>
          <w:color w:val="auto"/>
        </w:rPr>
        <w:t>Yankee Gas Company</w:t>
      </w:r>
      <w:r w:rsidRPr="00FE6973">
        <w:rPr>
          <w:rFonts w:ascii="Century Schoolbook" w:hAnsi="Century Schoolbook"/>
          <w:color w:val="auto"/>
        </w:rPr>
        <w:t xml:space="preserve"> customers for the first year of the rate plan approved in rate case settlement;</w:t>
      </w:r>
    </w:p>
    <w:p w14:paraId="1D4D6492" w14:textId="3C965395" w:rsidR="006A6072" w:rsidRDefault="006A6072"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w:t>
      </w:r>
      <w:r>
        <w:rPr>
          <w:rFonts w:ascii="Century Schoolbook" w:hAnsi="Century Schoolbook"/>
          <w:color w:val="auto"/>
        </w:rPr>
        <w:t>7</w:t>
      </w:r>
      <w:r w:rsidRPr="001224B2">
        <w:rPr>
          <w:rFonts w:ascii="Century Schoolbook" w:hAnsi="Century Schoolbook"/>
          <w:color w:val="auto"/>
        </w:rPr>
        <w:t xml:space="preserve"> million in ratepayer benefits for Connecticut </w:t>
      </w:r>
      <w:r>
        <w:rPr>
          <w:rFonts w:ascii="Century Schoolbook" w:hAnsi="Century Schoolbook"/>
          <w:color w:val="auto"/>
        </w:rPr>
        <w:t xml:space="preserve">Natural </w:t>
      </w:r>
      <w:r w:rsidRPr="001224B2">
        <w:rPr>
          <w:rFonts w:ascii="Century Schoolbook" w:hAnsi="Century Schoolbook"/>
          <w:color w:val="auto"/>
        </w:rPr>
        <w:t>Gas Co</w:t>
      </w:r>
      <w:r>
        <w:rPr>
          <w:rFonts w:ascii="Century Schoolbook" w:hAnsi="Century Schoolbook"/>
          <w:color w:val="auto"/>
        </w:rPr>
        <w:t>rporation</w:t>
      </w:r>
      <w:r w:rsidRPr="001224B2">
        <w:rPr>
          <w:rFonts w:ascii="Century Schoolbook" w:hAnsi="Century Schoolbook"/>
          <w:color w:val="auto"/>
        </w:rPr>
        <w:t xml:space="preserve"> customers for the first year of the rate plan approved in rate case settlement;</w:t>
      </w:r>
    </w:p>
    <w:p w14:paraId="3C29EF3B" w14:textId="77777777" w:rsidR="00A50CD0" w:rsidRDefault="00B540B3"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Continued rate freeze f</w:t>
      </w:r>
      <w:r w:rsidR="00A50CD0" w:rsidRPr="001224B2">
        <w:rPr>
          <w:rFonts w:ascii="Century Schoolbook" w:hAnsi="Century Schoolbook"/>
          <w:color w:val="auto"/>
        </w:rPr>
        <w:t xml:space="preserve">or  </w:t>
      </w:r>
      <w:proofErr w:type="spellStart"/>
      <w:r w:rsidR="00A50CD0" w:rsidRPr="001224B2">
        <w:rPr>
          <w:rFonts w:ascii="Century Schoolbook" w:hAnsi="Century Schoolbook"/>
          <w:color w:val="auto"/>
        </w:rPr>
        <w:t>Aquarion</w:t>
      </w:r>
      <w:proofErr w:type="spellEnd"/>
      <w:r w:rsidR="00A50CD0" w:rsidRPr="001224B2">
        <w:rPr>
          <w:rFonts w:ascii="Century Schoolbook" w:hAnsi="Century Schoolbook"/>
          <w:color w:val="auto"/>
        </w:rPr>
        <w:t xml:space="preserve"> Water Company customers;</w:t>
      </w:r>
    </w:p>
    <w:p w14:paraId="2FCB743D" w14:textId="4B60DCE7" w:rsidR="00A50CD0" w:rsidRPr="001224B2" w:rsidRDefault="00A50CD0"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 xml:space="preserve">Customer bill savings of </w:t>
      </w:r>
      <w:r w:rsidR="006A6072">
        <w:rPr>
          <w:rFonts w:ascii="Century Schoolbook" w:hAnsi="Century Schoolbook"/>
          <w:color w:val="auto"/>
        </w:rPr>
        <w:t xml:space="preserve">approximately </w:t>
      </w:r>
      <w:r w:rsidRPr="001224B2">
        <w:rPr>
          <w:rFonts w:ascii="Century Schoolbook" w:hAnsi="Century Schoolbook"/>
          <w:color w:val="auto"/>
        </w:rPr>
        <w:t>$1</w:t>
      </w:r>
      <w:r w:rsidR="006A6072">
        <w:rPr>
          <w:rFonts w:ascii="Century Schoolbook" w:hAnsi="Century Schoolbook"/>
          <w:color w:val="auto"/>
        </w:rPr>
        <w:t>2</w:t>
      </w:r>
      <w:r w:rsidRPr="001224B2">
        <w:rPr>
          <w:rFonts w:ascii="Century Schoolbook" w:hAnsi="Century Schoolbook"/>
          <w:color w:val="auto"/>
        </w:rPr>
        <w:t xml:space="preserve"> million for Connecticut Water Company customers due to </w:t>
      </w:r>
      <w:r w:rsidR="006A6072">
        <w:rPr>
          <w:rFonts w:ascii="Century Schoolbook" w:hAnsi="Century Schoolbook"/>
          <w:color w:val="auto"/>
        </w:rPr>
        <w:t xml:space="preserve">a </w:t>
      </w:r>
      <w:r w:rsidRPr="001224B2">
        <w:rPr>
          <w:rFonts w:ascii="Century Schoolbook" w:hAnsi="Century Schoolbook"/>
          <w:color w:val="auto"/>
        </w:rPr>
        <w:t xml:space="preserve">Settlement that </w:t>
      </w:r>
      <w:r w:rsidR="00EF0F7A">
        <w:rPr>
          <w:rFonts w:ascii="Century Schoolbook" w:hAnsi="Century Schoolbook"/>
          <w:color w:val="auto"/>
        </w:rPr>
        <w:t>extended a base rate freeze;</w:t>
      </w:r>
    </w:p>
    <w:p w14:paraId="7CA4913B" w14:textId="4EAD8877" w:rsidR="00A50CD0" w:rsidRPr="00784FAF" w:rsidRDefault="00A50CD0" w:rsidP="003F7DBA">
      <w:pPr>
        <w:pStyle w:val="Default"/>
        <w:numPr>
          <w:ilvl w:val="1"/>
          <w:numId w:val="14"/>
        </w:numPr>
        <w:adjustRightInd/>
        <w:ind w:hanging="810"/>
        <w:jc w:val="both"/>
        <w:rPr>
          <w:rFonts w:ascii="Century Schoolbook" w:hAnsi="Century Schoolbook"/>
          <w:color w:val="auto"/>
        </w:rPr>
      </w:pPr>
      <w:r w:rsidRPr="00BD167A">
        <w:rPr>
          <w:rFonts w:ascii="Century Schoolbook" w:hAnsi="Century Schoolbook"/>
          <w:color w:val="auto"/>
        </w:rPr>
        <w:t>$93 million in savings from the United Illuminating(“UI”) rate case for the three-year Rate Plan (2017-2019);</w:t>
      </w:r>
      <w:r w:rsidR="005778E0">
        <w:rPr>
          <w:rFonts w:ascii="Century Schoolbook" w:hAnsi="Century Schoolbook"/>
          <w:color w:val="auto"/>
        </w:rPr>
        <w:t xml:space="preserve"> and</w:t>
      </w:r>
    </w:p>
    <w:p w14:paraId="38FF6D08" w14:textId="5D94EDB2" w:rsidR="00A50CD0" w:rsidRPr="001224B2" w:rsidRDefault="00A50CD0" w:rsidP="003F7DBA">
      <w:pPr>
        <w:pStyle w:val="Default"/>
        <w:numPr>
          <w:ilvl w:val="1"/>
          <w:numId w:val="14"/>
        </w:numPr>
        <w:adjustRightInd/>
        <w:ind w:hanging="810"/>
        <w:jc w:val="both"/>
        <w:rPr>
          <w:rFonts w:ascii="Century Schoolbook" w:hAnsi="Century Schoolbook"/>
          <w:color w:val="auto"/>
        </w:rPr>
      </w:pPr>
      <w:r w:rsidRPr="001224B2">
        <w:rPr>
          <w:rFonts w:ascii="Century Schoolbook" w:hAnsi="Century Schoolbook"/>
          <w:color w:val="auto"/>
        </w:rPr>
        <w:t>Negotiated rate freezes and overearning settlemen</w:t>
      </w:r>
      <w:r w:rsidR="005778E0">
        <w:rPr>
          <w:rFonts w:ascii="Century Schoolbook" w:hAnsi="Century Schoolbook"/>
          <w:color w:val="auto"/>
        </w:rPr>
        <w:t>ts with smaller water companies.</w:t>
      </w:r>
    </w:p>
    <w:p w14:paraId="33F1B403" w14:textId="77777777" w:rsidR="00171BAF" w:rsidRDefault="00171BAF" w:rsidP="00171BAF"/>
    <w:p w14:paraId="5A939A73" w14:textId="77777777" w:rsidR="00171BAF" w:rsidRPr="005962E8" w:rsidRDefault="00171BAF" w:rsidP="00171BAF">
      <w:pPr>
        <w:pStyle w:val="Default"/>
        <w:numPr>
          <w:ilvl w:val="0"/>
          <w:numId w:val="4"/>
        </w:numPr>
        <w:jc w:val="both"/>
        <w:rPr>
          <w:rFonts w:ascii="Century Schoolbook" w:hAnsi="Century Schoolbook"/>
          <w:b/>
          <w:u w:val="single"/>
        </w:rPr>
      </w:pPr>
      <w:r w:rsidRPr="008578C0">
        <w:rPr>
          <w:rFonts w:ascii="Century Schoolbook" w:hAnsi="Century Schoolbook"/>
          <w:b/>
          <w:u w:val="single"/>
        </w:rPr>
        <w:t>Advocacy in PURA Dockets:</w:t>
      </w:r>
      <w:r w:rsidRPr="008578C0">
        <w:rPr>
          <w:rFonts w:ascii="Century Schoolbook" w:hAnsi="Century Schoolbook"/>
        </w:rPr>
        <w:t xml:space="preserve"> OCC </w:t>
      </w:r>
      <w:r>
        <w:rPr>
          <w:rFonts w:ascii="Century Schoolbook" w:hAnsi="Century Schoolbook"/>
        </w:rPr>
        <w:t>was a party in over 500</w:t>
      </w:r>
      <w:r w:rsidRPr="005962E8">
        <w:rPr>
          <w:rFonts w:ascii="Century Schoolbook" w:hAnsi="Century Schoolbook"/>
        </w:rPr>
        <w:t xml:space="preserve"> dockets</w:t>
      </w:r>
      <w:r>
        <w:rPr>
          <w:rFonts w:ascii="Century Schoolbook" w:hAnsi="Century Schoolbook"/>
        </w:rPr>
        <w:t xml:space="preserve"> during Fiscal Year 201</w:t>
      </w:r>
      <w:r w:rsidR="004861F8">
        <w:rPr>
          <w:rFonts w:ascii="Century Schoolbook" w:hAnsi="Century Schoolbook"/>
        </w:rPr>
        <w:t>8</w:t>
      </w:r>
      <w:r>
        <w:rPr>
          <w:rFonts w:ascii="Century Schoolbook" w:hAnsi="Century Schoolbook"/>
        </w:rPr>
        <w:t>-201</w:t>
      </w:r>
      <w:r w:rsidR="004861F8">
        <w:rPr>
          <w:rFonts w:ascii="Century Schoolbook" w:hAnsi="Century Schoolbook"/>
        </w:rPr>
        <w:t>9</w:t>
      </w:r>
      <w:r w:rsidRPr="008578C0">
        <w:rPr>
          <w:rFonts w:ascii="Century Schoolbook" w:hAnsi="Century Schoolbook"/>
        </w:rPr>
        <w:t xml:space="preserve"> </w:t>
      </w:r>
      <w:r>
        <w:rPr>
          <w:rFonts w:ascii="Century Schoolbook" w:hAnsi="Century Schoolbook"/>
        </w:rPr>
        <w:t xml:space="preserve">that were </w:t>
      </w:r>
      <w:r w:rsidRPr="008578C0">
        <w:rPr>
          <w:rFonts w:ascii="Century Schoolbook" w:hAnsi="Century Schoolbook"/>
        </w:rPr>
        <w:t>opened or re-opened by PURA</w:t>
      </w:r>
      <w:r>
        <w:rPr>
          <w:rFonts w:ascii="Century Schoolbook" w:hAnsi="Century Schoolbook"/>
        </w:rPr>
        <w:t xml:space="preserve">.  Some key dockets </w:t>
      </w:r>
      <w:r w:rsidRPr="00427CF3">
        <w:rPr>
          <w:rFonts w:ascii="Century Schoolbook" w:hAnsi="Century Schoolbook"/>
        </w:rPr>
        <w:t>includ</w:t>
      </w:r>
      <w:r>
        <w:rPr>
          <w:rFonts w:ascii="Century Schoolbook" w:hAnsi="Century Schoolbook"/>
        </w:rPr>
        <w:t>e</w:t>
      </w:r>
      <w:r w:rsidRPr="00427CF3">
        <w:rPr>
          <w:rFonts w:ascii="Century Schoolbook" w:hAnsi="Century Schoolbook"/>
        </w:rPr>
        <w:t>:</w:t>
      </w:r>
      <w:r w:rsidRPr="008578C0">
        <w:rPr>
          <w:rFonts w:ascii="Century Schoolbook" w:hAnsi="Century Schoolbook"/>
        </w:rPr>
        <w:t xml:space="preserve"> </w:t>
      </w:r>
    </w:p>
    <w:p w14:paraId="6B9912EE" w14:textId="77777777" w:rsidR="00171BAF" w:rsidRPr="00915880" w:rsidRDefault="00171BAF" w:rsidP="00171BAF">
      <w:pPr>
        <w:pStyle w:val="Default"/>
        <w:jc w:val="both"/>
        <w:rPr>
          <w:rFonts w:ascii="Century Schoolbook" w:hAnsi="Century Schoolbook"/>
          <w:color w:val="auto"/>
          <w:u w:val="single"/>
        </w:rPr>
      </w:pPr>
    </w:p>
    <w:p w14:paraId="0F3BE5EB" w14:textId="6F06B220" w:rsidR="007247F8" w:rsidRPr="005778E0" w:rsidRDefault="00410F8E" w:rsidP="005778E0">
      <w:pPr>
        <w:pStyle w:val="Default"/>
        <w:numPr>
          <w:ilvl w:val="0"/>
          <w:numId w:val="20"/>
        </w:numPr>
        <w:ind w:left="1440" w:hanging="630"/>
        <w:jc w:val="both"/>
        <w:rPr>
          <w:rFonts w:ascii="Century Schoolbook" w:hAnsi="Century Schoolbook"/>
          <w:u w:val="single"/>
        </w:rPr>
      </w:pPr>
      <w:r>
        <w:rPr>
          <w:rFonts w:ascii="Century Schoolbook" w:hAnsi="Century Schoolbook"/>
          <w:color w:val="auto"/>
          <w:u w:val="single"/>
        </w:rPr>
        <w:t>In Docket No. 18-05-10</w:t>
      </w:r>
      <w:r w:rsidR="0067520E" w:rsidRPr="0067520E">
        <w:rPr>
          <w:rFonts w:ascii="Century Schoolbook" w:hAnsi="Century Schoolbook"/>
          <w:color w:val="auto"/>
          <w:u w:val="single"/>
        </w:rPr>
        <w:t xml:space="preserve">, </w:t>
      </w:r>
      <w:bookmarkStart w:id="1" w:name="STATE_OF_CONNECTICUT"/>
      <w:bookmarkStart w:id="2" w:name="Consumer_Counsel_Elin_Swanson_Katz"/>
      <w:bookmarkStart w:id="3" w:name="________________________________________"/>
      <w:bookmarkEnd w:id="1"/>
      <w:bookmarkEnd w:id="2"/>
      <w:bookmarkEnd w:id="3"/>
      <w:r w:rsidR="0067520E" w:rsidRPr="0067520E">
        <w:rPr>
          <w:rFonts w:ascii="Century Schoolbook" w:hAnsi="Century Schoolbook"/>
          <w:u w:val="single"/>
        </w:rPr>
        <w:t xml:space="preserve">OCC, along with </w:t>
      </w:r>
      <w:r w:rsidR="00D24004">
        <w:rPr>
          <w:rFonts w:ascii="Century Schoolbook" w:hAnsi="Century Schoolbook"/>
          <w:u w:val="single"/>
        </w:rPr>
        <w:t xml:space="preserve">PURA’s </w:t>
      </w:r>
      <w:r w:rsidR="0067520E" w:rsidRPr="0067520E">
        <w:rPr>
          <w:rFonts w:ascii="Century Schoolbook" w:hAnsi="Century Schoolbook"/>
          <w:u w:val="single"/>
        </w:rPr>
        <w:t>Prosec</w:t>
      </w:r>
      <w:r w:rsidR="0067520E" w:rsidRPr="00D24004">
        <w:rPr>
          <w:rFonts w:ascii="Century Schoolbook" w:hAnsi="Century Schoolbook"/>
          <w:u w:val="single"/>
        </w:rPr>
        <w:t>utorial</w:t>
      </w:r>
      <w:r w:rsidR="005778E0">
        <w:rPr>
          <w:rFonts w:ascii="Century Schoolbook" w:hAnsi="Century Schoolbook"/>
          <w:color w:val="auto"/>
          <w:u w:val="single"/>
        </w:rPr>
        <w:t xml:space="preserve"> </w:t>
      </w:r>
      <w:r w:rsidR="0067520E" w:rsidRPr="005778E0">
        <w:rPr>
          <w:rFonts w:ascii="Century Schoolbook" w:hAnsi="Century Schoolbook"/>
          <w:u w:val="single"/>
        </w:rPr>
        <w:t>Staff</w:t>
      </w:r>
      <w:r w:rsidR="005778E0">
        <w:rPr>
          <w:rFonts w:ascii="Century Schoolbook" w:hAnsi="Century Schoolbook"/>
          <w:u w:val="single"/>
        </w:rPr>
        <w:t>,</w:t>
      </w:r>
      <w:r w:rsidR="0067520E" w:rsidRPr="005778E0">
        <w:rPr>
          <w:rFonts w:ascii="Century Schoolbook" w:hAnsi="Century Schoolbook"/>
          <w:u w:val="single"/>
        </w:rPr>
        <w:t xml:space="preserve"> entered into a Settlement Agreement with Yankee Gas Services Company </w:t>
      </w:r>
      <w:r w:rsidR="00D24004" w:rsidRPr="005778E0">
        <w:rPr>
          <w:rFonts w:ascii="Century Schoolbook" w:hAnsi="Century Schoolbook"/>
          <w:u w:val="single"/>
        </w:rPr>
        <w:t>(</w:t>
      </w:r>
      <w:r w:rsidR="0067520E" w:rsidRPr="005778E0">
        <w:rPr>
          <w:rFonts w:ascii="Century Schoolbook" w:hAnsi="Century Schoolbook"/>
          <w:u w:val="single"/>
        </w:rPr>
        <w:t xml:space="preserve">Yankee Gas) regarding Yankee Gas’s Application to PURA to increase its existing distribution rates in a three-year rate plan.  </w:t>
      </w:r>
      <w:r w:rsidR="00FF7C6E" w:rsidRPr="005778E0">
        <w:rPr>
          <w:rFonts w:ascii="Century Schoolbook" w:hAnsi="Century Schoolbook"/>
        </w:rPr>
        <w:t xml:space="preserve">PURA approved this Revenue Requirements Settlement Agreement on </w:t>
      </w:r>
      <w:r w:rsidR="007247F8" w:rsidRPr="005778E0">
        <w:rPr>
          <w:rFonts w:ascii="Century Schoolbook" w:hAnsi="Century Schoolbook"/>
        </w:rPr>
        <w:t>December 12</w:t>
      </w:r>
      <w:r w:rsidR="00FF7C6E" w:rsidRPr="005778E0">
        <w:rPr>
          <w:rFonts w:ascii="Century Schoolbook" w:hAnsi="Century Schoolbook"/>
        </w:rPr>
        <w:t xml:space="preserve">, 2018. </w:t>
      </w:r>
      <w:r w:rsidR="00FF7C6E" w:rsidRPr="005778E0">
        <w:rPr>
          <w:rFonts w:ascii="Century Schoolbook" w:eastAsia="Times New Roman" w:hAnsi="Century Schoolbook"/>
          <w:bCs/>
        </w:rPr>
        <w:t>The Settlement Agreement achieved an overall reduction of $</w:t>
      </w:r>
      <w:r w:rsidR="007247F8" w:rsidRPr="005778E0">
        <w:rPr>
          <w:rFonts w:ascii="Century Schoolbook" w:eastAsia="Times New Roman" w:hAnsi="Century Schoolbook"/>
          <w:bCs/>
        </w:rPr>
        <w:t>56.2</w:t>
      </w:r>
      <w:r w:rsidR="00FF7C6E" w:rsidRPr="005778E0">
        <w:rPr>
          <w:rFonts w:ascii="Century Schoolbook" w:eastAsia="Times New Roman" w:hAnsi="Century Schoolbook"/>
          <w:bCs/>
        </w:rPr>
        <w:t xml:space="preserve"> million from </w:t>
      </w:r>
      <w:r w:rsidR="007247F8" w:rsidRPr="005778E0">
        <w:rPr>
          <w:rFonts w:ascii="Century Schoolbook" w:eastAsia="Times New Roman" w:hAnsi="Century Schoolbook"/>
          <w:bCs/>
        </w:rPr>
        <w:t>Yankee Gas’</w:t>
      </w:r>
      <w:r w:rsidR="00FF7C6E" w:rsidRPr="005778E0">
        <w:rPr>
          <w:rFonts w:ascii="Century Schoolbook" w:eastAsia="Times New Roman" w:hAnsi="Century Schoolbook"/>
          <w:bCs/>
        </w:rPr>
        <w:t xml:space="preserve"> requested three-year rate plan, including an over </w:t>
      </w:r>
      <w:r w:rsidR="007247F8" w:rsidRPr="005778E0">
        <w:rPr>
          <w:rFonts w:ascii="Century Schoolbook" w:eastAsia="Times New Roman" w:hAnsi="Century Schoolbook"/>
          <w:bCs/>
        </w:rPr>
        <w:t>97</w:t>
      </w:r>
      <w:r w:rsidR="00FF7C6E" w:rsidRPr="005778E0">
        <w:rPr>
          <w:rFonts w:ascii="Century Schoolbook" w:eastAsia="Times New Roman" w:hAnsi="Century Schoolbook"/>
          <w:bCs/>
        </w:rPr>
        <w:t xml:space="preserve">% reduction to </w:t>
      </w:r>
      <w:proofErr w:type="spellStart"/>
      <w:r w:rsidR="00FF7C6E" w:rsidRPr="005778E0">
        <w:rPr>
          <w:rFonts w:ascii="Century Schoolbook" w:eastAsia="Times New Roman" w:hAnsi="Century Schoolbook"/>
          <w:bCs/>
        </w:rPr>
        <w:t>Eversource’s</w:t>
      </w:r>
      <w:proofErr w:type="spellEnd"/>
      <w:r w:rsidR="00FF7C6E" w:rsidRPr="005778E0">
        <w:rPr>
          <w:rFonts w:ascii="Century Schoolbook" w:eastAsia="Times New Roman" w:hAnsi="Century Schoolbook"/>
          <w:bCs/>
        </w:rPr>
        <w:t xml:space="preserve"> rate year one request, while still enabling </w:t>
      </w:r>
      <w:r w:rsidR="007247F8" w:rsidRPr="005778E0">
        <w:rPr>
          <w:rFonts w:ascii="Century Schoolbook" w:eastAsia="Times New Roman" w:hAnsi="Century Schoolbook"/>
          <w:bCs/>
        </w:rPr>
        <w:t>Yankee</w:t>
      </w:r>
      <w:r w:rsidR="00FF7C6E" w:rsidRPr="005778E0">
        <w:rPr>
          <w:rFonts w:ascii="Century Schoolbook" w:eastAsia="Times New Roman" w:hAnsi="Century Schoolbook"/>
          <w:bCs/>
        </w:rPr>
        <w:t xml:space="preserve"> to continue to provide safe and reliable service to its customers. </w:t>
      </w:r>
      <w:r w:rsidR="007247F8" w:rsidRPr="005778E0">
        <w:rPr>
          <w:rFonts w:ascii="Century Schoolbook" w:hAnsi="Century Schoolbook"/>
          <w:u w:val="single"/>
        </w:rPr>
        <w:t xml:space="preserve">The Settlement Agreement includes reductions to rate base, operations and maintenance expense, depreciation and amortizations, return on equity, and </w:t>
      </w:r>
      <w:proofErr w:type="spellStart"/>
      <w:r w:rsidR="007247F8" w:rsidRPr="005778E0">
        <w:rPr>
          <w:rFonts w:ascii="Century Schoolbook" w:hAnsi="Century Schoolbook"/>
          <w:u w:val="single"/>
        </w:rPr>
        <w:t>uncollectibles</w:t>
      </w:r>
      <w:proofErr w:type="spellEnd"/>
      <w:r w:rsidR="007247F8" w:rsidRPr="005778E0">
        <w:rPr>
          <w:rFonts w:ascii="Century Schoolbook" w:hAnsi="Century Schoolbook"/>
          <w:u w:val="single"/>
        </w:rPr>
        <w:t xml:space="preserve"> expense.  The Settlement Agreement also returns 100% of savings resulting from the recent federal tax law change to Yankee Gas customers</w:t>
      </w:r>
      <w:r w:rsidR="003539DC" w:rsidRPr="005778E0">
        <w:rPr>
          <w:rFonts w:ascii="Century Schoolbook" w:hAnsi="Century Schoolbook"/>
          <w:u w:val="single"/>
        </w:rPr>
        <w:t>.</w:t>
      </w:r>
    </w:p>
    <w:p w14:paraId="0A1F057B" w14:textId="77777777" w:rsidR="003539DC" w:rsidRDefault="003539DC" w:rsidP="0067520E">
      <w:pPr>
        <w:pStyle w:val="Default"/>
        <w:ind w:left="1260"/>
        <w:jc w:val="both"/>
        <w:rPr>
          <w:rFonts w:ascii="Century Schoolbook" w:hAnsi="Century Schoolbook"/>
          <w:u w:val="single"/>
        </w:rPr>
      </w:pPr>
    </w:p>
    <w:p w14:paraId="7A97A9BD" w14:textId="77777777" w:rsidR="00C55FE0" w:rsidRDefault="00C55FE0" w:rsidP="00C55FE0">
      <w:pPr>
        <w:pStyle w:val="Default"/>
        <w:ind w:left="1260"/>
        <w:jc w:val="both"/>
        <w:rPr>
          <w:rFonts w:ascii="Century Schoolbook" w:hAnsi="Century Schoolbook"/>
          <w:u w:val="single"/>
        </w:rPr>
      </w:pPr>
    </w:p>
    <w:p w14:paraId="3721A6E5" w14:textId="77777777" w:rsidR="00C55FE0" w:rsidRPr="00C55FE0" w:rsidRDefault="00C55FE0" w:rsidP="00C53A3E">
      <w:pPr>
        <w:pStyle w:val="Default"/>
        <w:numPr>
          <w:ilvl w:val="0"/>
          <w:numId w:val="20"/>
        </w:numPr>
        <w:ind w:left="1440" w:hanging="630"/>
        <w:jc w:val="both"/>
        <w:rPr>
          <w:rFonts w:ascii="Century Schoolbook" w:hAnsi="Century Schoolbook"/>
        </w:rPr>
      </w:pPr>
      <w:r w:rsidRPr="00C55FE0">
        <w:rPr>
          <w:rFonts w:ascii="Century Schoolbook" w:hAnsi="Century Schoolbook"/>
        </w:rPr>
        <w:t xml:space="preserve">In Docket No. 18-06-16, the OCC and Prosecutorial Staff of PURA entered into a Settlement Agreement with the Connecticut Natural </w:t>
      </w:r>
      <w:r w:rsidRPr="00C55FE0">
        <w:rPr>
          <w:rFonts w:ascii="Century Schoolbook" w:hAnsi="Century Schoolbook"/>
        </w:rPr>
        <w:lastRenderedPageBreak/>
        <w:t>Gas Corporation (“CNG”) regarding CNG’s Application to PURA to increase its existing distribution rates in a three-year rate plan. PURA approved this Revenue Requirements Settlement Agreement on December 19, 2018. The Settlement Agreement reduced the first year rate increase by $6 million and by over $27 million over the three-year rate plan. Approved in the Settlement, CNG will implement an Apprentice Helper Resource Plan and a $1.5 million annual hardship grant program, beginning in 2020, which will, along with existing programs, assist customers with economic hardships in getting back on track after an arrearage develops.</w:t>
      </w:r>
    </w:p>
    <w:p w14:paraId="5EA1D15A" w14:textId="77777777" w:rsidR="00410F8E" w:rsidRDefault="00410F8E" w:rsidP="00D5503B">
      <w:pPr>
        <w:pStyle w:val="Default"/>
        <w:ind w:left="1440" w:hanging="1080"/>
        <w:jc w:val="both"/>
        <w:rPr>
          <w:rFonts w:ascii="Century Schoolbook" w:hAnsi="Century Schoolbook"/>
          <w:color w:val="auto"/>
          <w:u w:val="single"/>
        </w:rPr>
      </w:pPr>
    </w:p>
    <w:p w14:paraId="0753144D" w14:textId="77777777" w:rsidR="00C55FE0" w:rsidRPr="00BD167A" w:rsidRDefault="00C55FE0" w:rsidP="00BD167A">
      <w:pPr>
        <w:pStyle w:val="Default"/>
        <w:ind w:left="1620"/>
        <w:jc w:val="both"/>
        <w:rPr>
          <w:rFonts w:ascii="Century Schoolbook" w:hAnsi="Century Schoolbook"/>
          <w:color w:val="auto"/>
          <w:u w:val="single"/>
        </w:rPr>
      </w:pPr>
    </w:p>
    <w:p w14:paraId="00E95585" w14:textId="77777777" w:rsidR="00D16E67" w:rsidRPr="00C53A3E" w:rsidRDefault="00D16E67" w:rsidP="00C53A3E">
      <w:pPr>
        <w:pStyle w:val="Default"/>
        <w:numPr>
          <w:ilvl w:val="0"/>
          <w:numId w:val="20"/>
        </w:numPr>
        <w:ind w:left="1440" w:hanging="630"/>
        <w:jc w:val="both"/>
        <w:rPr>
          <w:rFonts w:ascii="Century Schoolbook" w:hAnsi="Century Schoolbook"/>
          <w:color w:val="auto"/>
          <w:u w:val="single"/>
        </w:rPr>
      </w:pPr>
      <w:r w:rsidRPr="008E1300">
        <w:rPr>
          <w:rFonts w:ascii="Century Schoolbook" w:hAnsi="Century Schoolbook"/>
        </w:rPr>
        <w:t xml:space="preserve">In Docket No. </w:t>
      </w:r>
      <w:r w:rsidR="006C7519">
        <w:rPr>
          <w:rFonts w:ascii="Century Schoolbook" w:hAnsi="Century Schoolbook"/>
        </w:rPr>
        <w:t>06-12-07-RE07</w:t>
      </w:r>
      <w:r w:rsidRPr="008E1300">
        <w:rPr>
          <w:rFonts w:ascii="Century Schoolbook" w:hAnsi="Century Schoolbook"/>
        </w:rPr>
        <w:t xml:space="preserve">, </w:t>
      </w:r>
      <w:r w:rsidR="006C7519">
        <w:rPr>
          <w:rFonts w:ascii="Century Schoolbook" w:hAnsi="Century Schoolbook"/>
        </w:rPr>
        <w:t>PURA assessed a civil penalty of $1,500,000.00 against Liberty Power Holdings, LLC for failure to conduct its marketing and sales in accord with relevant consumer protection law. In this docket, OCC advocated for PURA’s finding of numerous violations of law and an appropriate civil penalty, both of which protect electric consumers and deter other electric suppliers from pursuing unscrupulous and illegal business practices. To date, the civil penalty in this docket is the highest that PURA has levied against an electric supplier.</w:t>
      </w:r>
    </w:p>
    <w:p w14:paraId="762751E8" w14:textId="77777777" w:rsidR="00656C96" w:rsidRPr="00C53A3E" w:rsidRDefault="00656C96" w:rsidP="00C53A3E">
      <w:pPr>
        <w:pStyle w:val="Default"/>
        <w:ind w:left="1440" w:hanging="630"/>
        <w:jc w:val="both"/>
        <w:rPr>
          <w:rFonts w:ascii="Century Schoolbook" w:hAnsi="Century Schoolbook"/>
          <w:color w:val="auto"/>
          <w:u w:val="single"/>
        </w:rPr>
      </w:pPr>
    </w:p>
    <w:p w14:paraId="34D5D440" w14:textId="1E15A863" w:rsidR="00C55FE0" w:rsidRPr="00C53A3E" w:rsidRDefault="00C55FE0" w:rsidP="00C53A3E">
      <w:pPr>
        <w:pStyle w:val="Default"/>
        <w:numPr>
          <w:ilvl w:val="0"/>
          <w:numId w:val="20"/>
        </w:numPr>
        <w:ind w:left="1440" w:hanging="630"/>
        <w:jc w:val="both"/>
        <w:rPr>
          <w:rFonts w:ascii="Century Schoolbook" w:hAnsi="Century Schoolbook"/>
          <w:color w:val="auto"/>
          <w:u w:val="single"/>
        </w:rPr>
      </w:pPr>
      <w:r w:rsidRPr="008E1300">
        <w:rPr>
          <w:rFonts w:ascii="Century Schoolbook" w:hAnsi="Century Schoolbook"/>
          <w:color w:val="auto"/>
        </w:rPr>
        <w:t xml:space="preserve">In Docket No. </w:t>
      </w:r>
      <w:r>
        <w:rPr>
          <w:rFonts w:ascii="Century Schoolbook" w:hAnsi="Century Schoolbook"/>
          <w:color w:val="auto"/>
        </w:rPr>
        <w:t xml:space="preserve">13-07-17, PURA assessed a civil penalty of $1,500,000.00 against Direct Energy for its failure conduct </w:t>
      </w:r>
      <w:proofErr w:type="gramStart"/>
      <w:r>
        <w:rPr>
          <w:rFonts w:ascii="Century Schoolbook" w:hAnsi="Century Schoolbook"/>
          <w:color w:val="auto"/>
        </w:rPr>
        <w:t>its</w:t>
      </w:r>
      <w:proofErr w:type="gramEnd"/>
      <w:r>
        <w:rPr>
          <w:rFonts w:ascii="Century Schoolbook" w:hAnsi="Century Schoolbook"/>
          <w:color w:val="auto"/>
        </w:rPr>
        <w:t xml:space="preserve"> marketing and sales outreach in accord with relevant consumer protection statutes. OCC advocated for PURA finding numerous violations of law and argued in favor of an appropriate civil penalty. Along with the aforementioned Docket No. 06-12-07RE07, the civil penalty in this docket is currently the highest that PURA has assessed against an electric supplier for marketing tactics that harm electric consumers.</w:t>
      </w:r>
    </w:p>
    <w:p w14:paraId="44F4D171" w14:textId="77777777" w:rsidR="00D16E67" w:rsidRPr="008E1300" w:rsidRDefault="00D16E67" w:rsidP="00D5503B">
      <w:pPr>
        <w:pStyle w:val="Default"/>
        <w:ind w:left="1440" w:hanging="630"/>
        <w:jc w:val="both"/>
        <w:rPr>
          <w:rFonts w:ascii="Century Schoolbook" w:hAnsi="Century Schoolbook"/>
          <w:color w:val="auto"/>
          <w:u w:val="single"/>
        </w:rPr>
      </w:pPr>
    </w:p>
    <w:p w14:paraId="7F13B536" w14:textId="3C134301" w:rsidR="00D16E67" w:rsidRPr="00D16E67" w:rsidRDefault="00D16E67" w:rsidP="00C53A3E">
      <w:pPr>
        <w:pStyle w:val="Default"/>
        <w:numPr>
          <w:ilvl w:val="0"/>
          <w:numId w:val="20"/>
        </w:numPr>
        <w:ind w:left="1440" w:hanging="630"/>
        <w:jc w:val="both"/>
        <w:rPr>
          <w:rFonts w:ascii="Century Schoolbook" w:hAnsi="Century Schoolbook"/>
          <w:color w:val="auto"/>
          <w:u w:val="single"/>
        </w:rPr>
      </w:pPr>
      <w:r w:rsidRPr="008E1300">
        <w:rPr>
          <w:rFonts w:ascii="Century Schoolbook" w:hAnsi="Century Schoolbook"/>
        </w:rPr>
        <w:t xml:space="preserve">In Docket No. </w:t>
      </w:r>
      <w:r w:rsidR="003F05D9">
        <w:rPr>
          <w:rFonts w:ascii="Century Schoolbook" w:hAnsi="Century Schoolbook"/>
        </w:rPr>
        <w:t xml:space="preserve">10-06-18RE02, PURA assessed a civil penalty in the amount of $750,000.00 against Spark Energy, LLC for its role in a deceptive telesales campaign and its failure to directly train its sales agents pursuant to Connecticut law. In this docket, OCC argued for PURA finding multiple violations of law and assessing an appropriate civil penalty, both of which vindicate the interests of electric consumers who received deceptive communications such as those documented in this proceeding. </w:t>
      </w:r>
    </w:p>
    <w:p w14:paraId="321BDEAA" w14:textId="77777777" w:rsidR="00D16E67" w:rsidRPr="008E1300" w:rsidRDefault="00D16E67" w:rsidP="00D5503B">
      <w:pPr>
        <w:pStyle w:val="Default"/>
        <w:ind w:left="1440" w:hanging="630"/>
        <w:jc w:val="both"/>
        <w:rPr>
          <w:rFonts w:ascii="Century Schoolbook" w:hAnsi="Century Schoolbook"/>
          <w:color w:val="auto"/>
          <w:u w:val="single"/>
        </w:rPr>
      </w:pPr>
    </w:p>
    <w:p w14:paraId="7239F7F2" w14:textId="4AEF3492" w:rsidR="00D16E67" w:rsidRPr="00D16E67" w:rsidRDefault="00D16E67" w:rsidP="00C53A3E">
      <w:pPr>
        <w:pStyle w:val="Default"/>
        <w:numPr>
          <w:ilvl w:val="0"/>
          <w:numId w:val="20"/>
        </w:numPr>
        <w:ind w:left="1440" w:hanging="630"/>
        <w:jc w:val="both"/>
        <w:rPr>
          <w:rFonts w:ascii="Century Schoolbook" w:hAnsi="Century Schoolbook"/>
          <w:color w:val="auto"/>
          <w:u w:val="single"/>
        </w:rPr>
      </w:pPr>
      <w:r w:rsidRPr="008E1300">
        <w:rPr>
          <w:rFonts w:ascii="Century Schoolbook" w:hAnsi="Century Schoolbook"/>
        </w:rPr>
        <w:t>In Docket No. 17-</w:t>
      </w:r>
      <w:r w:rsidR="003F05D9">
        <w:rPr>
          <w:rFonts w:ascii="Century Schoolbook" w:hAnsi="Century Schoolbook"/>
        </w:rPr>
        <w:t xml:space="preserve">10-46RE02, PURA authorized additional funding to CL&amp;P pursuant to the settlement agreement resolving its latest rate case to conduct additional Enhanced Tree Trimming and Tree Removal operations throughout its service territory. OCC participated in this </w:t>
      </w:r>
      <w:r w:rsidR="003F05D9">
        <w:rPr>
          <w:rFonts w:ascii="Century Schoolbook" w:hAnsi="Century Schoolbook"/>
        </w:rPr>
        <w:lastRenderedPageBreak/>
        <w:t xml:space="preserve">docket to ensure that the request for additional funding was consistent with the settlement agreement in Docket No. 17-10-46 and in furtherance of electric ratepayer interests. Due to recent drought conditions and the infestation of invasive insect species, </w:t>
      </w:r>
      <w:r w:rsidR="00D62F62">
        <w:rPr>
          <w:rFonts w:ascii="Century Schoolbook" w:hAnsi="Century Schoolbook"/>
        </w:rPr>
        <w:t>the number of dead and dying trees that must be removed in order to safeguard the reliability of the electric distribution system has been far greater than anticipated.</w:t>
      </w:r>
    </w:p>
    <w:p w14:paraId="34E9F71A" w14:textId="77777777" w:rsidR="00D16E67" w:rsidRPr="008E1300" w:rsidRDefault="00D16E67" w:rsidP="00D5503B">
      <w:pPr>
        <w:pStyle w:val="Default"/>
        <w:ind w:left="1440" w:hanging="630"/>
        <w:jc w:val="both"/>
        <w:rPr>
          <w:rFonts w:ascii="Century Schoolbook" w:hAnsi="Century Schoolbook"/>
          <w:color w:val="auto"/>
          <w:u w:val="single"/>
        </w:rPr>
      </w:pPr>
    </w:p>
    <w:p w14:paraId="0EB96169" w14:textId="49FE5062" w:rsidR="00D62F62" w:rsidRPr="00AF4FA0" w:rsidRDefault="00D16E67" w:rsidP="00C53A3E">
      <w:pPr>
        <w:pStyle w:val="Default"/>
        <w:numPr>
          <w:ilvl w:val="0"/>
          <w:numId w:val="20"/>
        </w:numPr>
        <w:ind w:left="1440" w:hanging="630"/>
        <w:jc w:val="both"/>
        <w:rPr>
          <w:rFonts w:ascii="Century Schoolbook" w:hAnsi="Century Schoolbook"/>
          <w:color w:val="auto"/>
          <w:u w:val="single"/>
        </w:rPr>
      </w:pPr>
      <w:r w:rsidRPr="008E1300">
        <w:rPr>
          <w:rFonts w:ascii="Century Schoolbook" w:hAnsi="Century Schoolbook"/>
        </w:rPr>
        <w:t xml:space="preserve">In Docket No. 18-06-02, PURA </w:t>
      </w:r>
      <w:r w:rsidR="003F05D9">
        <w:rPr>
          <w:rFonts w:ascii="Century Schoolbook" w:hAnsi="Century Schoolbook"/>
        </w:rPr>
        <w:t>is</w:t>
      </w:r>
      <w:r w:rsidRPr="008E1300">
        <w:rPr>
          <w:rFonts w:ascii="Century Schoolbook" w:hAnsi="Century Schoolbook"/>
        </w:rPr>
        <w:t xml:space="preserve"> review</w:t>
      </w:r>
      <w:r w:rsidR="003F05D9">
        <w:rPr>
          <w:rFonts w:ascii="Century Schoolbook" w:hAnsi="Century Schoolbook"/>
        </w:rPr>
        <w:t>ing</w:t>
      </w:r>
      <w:r w:rsidRPr="008E1300">
        <w:rPr>
          <w:rFonts w:ascii="Century Schoolbook" w:hAnsi="Century Schoolbook"/>
        </w:rPr>
        <w:t xml:space="preserve"> the feasibility, costs, and benefits of transferring to electric distribution company standard service all electric hardship customers.  OCC’s detailed petition to PURA spurred the opening of this important docket. </w:t>
      </w:r>
      <w:r w:rsidR="003F05D9">
        <w:rPr>
          <w:rFonts w:ascii="Century Schoolbook" w:hAnsi="Century Schoolbook"/>
        </w:rPr>
        <w:t xml:space="preserve">In its Direct Testimony in this proceeding, OCC’s consultant concluded, based on actual electric bills rendered, that from 2016 to 2018, hardship customers taking electric supply from a third-party supplier paid $7.2 million more for an essential service than they would have on standard service over the same period. OCC’s testimony demonstrated additional, ongoing financial harm to hardship customers using electric suppliers. A PURA decision in this important docket is expected later this year. </w:t>
      </w:r>
      <w:r w:rsidRPr="008E1300">
        <w:rPr>
          <w:rFonts w:ascii="Century Schoolbook" w:hAnsi="Century Schoolbook"/>
        </w:rPr>
        <w:t xml:space="preserve"> </w:t>
      </w:r>
      <w:r w:rsidR="00D62F62">
        <w:rPr>
          <w:rFonts w:ascii="Century Schoolbook" w:hAnsi="Century Schoolbook"/>
        </w:rPr>
        <w:t xml:space="preserve"> </w:t>
      </w:r>
    </w:p>
    <w:p w14:paraId="6779D188" w14:textId="77777777" w:rsidR="00AF4FA0" w:rsidRPr="00AF4FA0" w:rsidRDefault="00AF4FA0" w:rsidP="00AF4FA0">
      <w:pPr>
        <w:pStyle w:val="Default"/>
        <w:ind w:left="1440"/>
        <w:jc w:val="both"/>
        <w:rPr>
          <w:rFonts w:ascii="Century Schoolbook" w:hAnsi="Century Schoolbook"/>
          <w:color w:val="auto"/>
          <w:u w:val="single"/>
        </w:rPr>
      </w:pPr>
    </w:p>
    <w:p w14:paraId="7688A3C8" w14:textId="00A01078" w:rsidR="00D16E67" w:rsidRPr="00AF4FA0" w:rsidRDefault="00D16E67" w:rsidP="00AF4FA0">
      <w:pPr>
        <w:pStyle w:val="Default"/>
        <w:numPr>
          <w:ilvl w:val="0"/>
          <w:numId w:val="20"/>
        </w:numPr>
        <w:ind w:left="1440" w:hanging="630"/>
        <w:jc w:val="both"/>
        <w:rPr>
          <w:rFonts w:ascii="Century Schoolbook" w:hAnsi="Century Schoolbook"/>
          <w:color w:val="auto"/>
          <w:u w:val="single"/>
        </w:rPr>
      </w:pPr>
      <w:r w:rsidRPr="00AF4FA0">
        <w:rPr>
          <w:rFonts w:ascii="Century Schoolbook" w:hAnsi="Century Schoolbook"/>
          <w:color w:val="auto"/>
        </w:rPr>
        <w:t xml:space="preserve">In Docket No. 14-07-19RE05, PURA </w:t>
      </w:r>
      <w:r w:rsidR="00AF4FA0">
        <w:rPr>
          <w:rFonts w:ascii="Century Schoolbook" w:hAnsi="Century Schoolbook"/>
          <w:color w:val="auto"/>
        </w:rPr>
        <w:t xml:space="preserve">examined </w:t>
      </w:r>
      <w:r w:rsidRPr="00AF4FA0">
        <w:rPr>
          <w:rFonts w:ascii="Century Schoolbook" w:hAnsi="Century Schoolbook"/>
          <w:color w:val="auto"/>
        </w:rPr>
        <w:t xml:space="preserve">compliance with the legal requirement for </w:t>
      </w:r>
      <w:proofErr w:type="spellStart"/>
      <w:r w:rsidRPr="00AF4FA0">
        <w:rPr>
          <w:rFonts w:ascii="Century Schoolbook" w:hAnsi="Century Schoolbook"/>
          <w:color w:val="auto"/>
        </w:rPr>
        <w:t>Eversource</w:t>
      </w:r>
      <w:proofErr w:type="spellEnd"/>
      <w:r w:rsidRPr="00AF4FA0">
        <w:rPr>
          <w:rFonts w:ascii="Century Schoolbook" w:hAnsi="Century Schoolbook"/>
          <w:color w:val="auto"/>
        </w:rPr>
        <w:t xml:space="preserve"> and UI residential electric bills to list the “next cycle rate” of a customer’s third-party generation supplier on the front page of the bill.  The goal of the statute is to give customers advance notice of a </w:t>
      </w:r>
      <w:r w:rsidR="003E293A" w:rsidRPr="00AF4FA0">
        <w:rPr>
          <w:rFonts w:ascii="Century Schoolbook" w:hAnsi="Century Schoolbook"/>
          <w:color w:val="auto"/>
        </w:rPr>
        <w:t xml:space="preserve">generation </w:t>
      </w:r>
      <w:r w:rsidRPr="00AF4FA0">
        <w:rPr>
          <w:rFonts w:ascii="Century Schoolbook" w:hAnsi="Century Schoolbook"/>
          <w:color w:val="auto"/>
        </w:rPr>
        <w:t>rate change, and, for example, avoid an upcoming price spike by switching suppliers or reverting to utility standard service for generation</w:t>
      </w:r>
      <w:r w:rsidR="003E293A" w:rsidRPr="00AF4FA0">
        <w:rPr>
          <w:rFonts w:ascii="Century Schoolbook" w:hAnsi="Century Schoolbook"/>
          <w:color w:val="auto"/>
        </w:rPr>
        <w:t xml:space="preserve"> before the new rate goes into effect</w:t>
      </w:r>
      <w:r w:rsidRPr="00AF4FA0">
        <w:rPr>
          <w:rFonts w:ascii="Century Schoolbook" w:hAnsi="Century Schoolbook"/>
          <w:color w:val="auto"/>
        </w:rPr>
        <w:t xml:space="preserve">.  PURA identified instances where the “next cycle rate” listed on the bill does not match the actual rate charged, </w:t>
      </w:r>
      <w:r w:rsidR="003E293A" w:rsidRPr="00AF4FA0">
        <w:rPr>
          <w:rFonts w:ascii="Century Schoolbook" w:hAnsi="Century Schoolbook"/>
          <w:color w:val="auto"/>
        </w:rPr>
        <w:t xml:space="preserve">as well as </w:t>
      </w:r>
      <w:r w:rsidRPr="00AF4FA0">
        <w:rPr>
          <w:rFonts w:ascii="Century Schoolbook" w:hAnsi="Century Schoolbook"/>
          <w:color w:val="auto"/>
        </w:rPr>
        <w:t xml:space="preserve">many other instances where the relevant information is not provided by the third-party suppliers to </w:t>
      </w:r>
      <w:proofErr w:type="spellStart"/>
      <w:r w:rsidRPr="00AF4FA0">
        <w:rPr>
          <w:rFonts w:ascii="Century Schoolbook" w:hAnsi="Century Schoolbook"/>
          <w:color w:val="auto"/>
        </w:rPr>
        <w:t>Eversource</w:t>
      </w:r>
      <w:proofErr w:type="spellEnd"/>
      <w:r w:rsidRPr="00AF4FA0">
        <w:rPr>
          <w:rFonts w:ascii="Century Schoolbook" w:hAnsi="Century Schoolbook"/>
          <w:color w:val="auto"/>
        </w:rPr>
        <w:t xml:space="preserve"> or UI, and </w:t>
      </w:r>
      <w:r w:rsidR="003E293A" w:rsidRPr="00AF4FA0">
        <w:rPr>
          <w:rFonts w:ascii="Century Schoolbook" w:hAnsi="Century Schoolbook"/>
          <w:color w:val="auto"/>
        </w:rPr>
        <w:t>also found that utilities retain only very limited records regarding compliance with the “next cycle rate”</w:t>
      </w:r>
      <w:r w:rsidRPr="00AF4FA0">
        <w:rPr>
          <w:rFonts w:ascii="Century Schoolbook" w:hAnsi="Century Schoolbook"/>
          <w:color w:val="auto"/>
        </w:rPr>
        <w:t xml:space="preserve"> provision.  OCC </w:t>
      </w:r>
      <w:r w:rsidR="00AF4FA0">
        <w:rPr>
          <w:rFonts w:ascii="Century Schoolbook" w:hAnsi="Century Schoolbook"/>
          <w:color w:val="auto"/>
        </w:rPr>
        <w:t xml:space="preserve">sought </w:t>
      </w:r>
      <w:r w:rsidRPr="00AF4FA0">
        <w:rPr>
          <w:rFonts w:ascii="Century Schoolbook" w:hAnsi="Century Schoolbook"/>
          <w:color w:val="auto"/>
        </w:rPr>
        <w:t>what it view</w:t>
      </w:r>
      <w:r w:rsidR="003E293A" w:rsidRPr="00AF4FA0">
        <w:rPr>
          <w:rFonts w:ascii="Century Schoolbook" w:hAnsi="Century Schoolbook"/>
          <w:color w:val="auto"/>
        </w:rPr>
        <w:t>s as a common sense improvement --</w:t>
      </w:r>
      <w:r w:rsidRPr="00AF4FA0">
        <w:rPr>
          <w:rFonts w:ascii="Century Schoolbook" w:hAnsi="Century Schoolbook"/>
          <w:color w:val="auto"/>
        </w:rPr>
        <w:t xml:space="preserve"> </w:t>
      </w:r>
      <w:proofErr w:type="gramStart"/>
      <w:r w:rsidRPr="00AF4FA0">
        <w:rPr>
          <w:rFonts w:ascii="Century Schoolbook" w:hAnsi="Century Schoolbook"/>
          <w:color w:val="auto"/>
        </w:rPr>
        <w:t>that</w:t>
      </w:r>
      <w:proofErr w:type="gramEnd"/>
      <w:r w:rsidRPr="00AF4FA0">
        <w:rPr>
          <w:rFonts w:ascii="Century Schoolbook" w:hAnsi="Century Schoolbook"/>
          <w:color w:val="auto"/>
        </w:rPr>
        <w:t xml:space="preserve"> utility systems require that the “next cycle rate” be filed </w:t>
      </w:r>
      <w:r w:rsidR="003E293A" w:rsidRPr="00AF4FA0">
        <w:rPr>
          <w:rFonts w:ascii="Century Schoolbook" w:hAnsi="Century Schoolbook"/>
          <w:color w:val="auto"/>
        </w:rPr>
        <w:t>by the third-party supplier in time for printing of the</w:t>
      </w:r>
      <w:r w:rsidRPr="00AF4FA0">
        <w:rPr>
          <w:rFonts w:ascii="Century Schoolbook" w:hAnsi="Century Schoolbook"/>
          <w:color w:val="auto"/>
        </w:rPr>
        <w:t xml:space="preserve"> utility bill, or else the third-party electric supplier does not get to change the rate</w:t>
      </w:r>
      <w:r w:rsidR="003E293A" w:rsidRPr="00AF4FA0">
        <w:rPr>
          <w:rFonts w:ascii="Century Schoolbook" w:hAnsi="Century Schoolbook"/>
          <w:color w:val="auto"/>
        </w:rPr>
        <w:t xml:space="preserve"> for the next cycle</w:t>
      </w:r>
      <w:r w:rsidRPr="00AF4FA0">
        <w:rPr>
          <w:rFonts w:ascii="Century Schoolbook" w:hAnsi="Century Schoolbook"/>
          <w:color w:val="auto"/>
        </w:rPr>
        <w:t xml:space="preserve">.  </w:t>
      </w:r>
      <w:r w:rsidR="003E293A" w:rsidRPr="00AF4FA0">
        <w:rPr>
          <w:rFonts w:ascii="Century Schoolbook" w:hAnsi="Century Schoolbook"/>
          <w:color w:val="auto"/>
        </w:rPr>
        <w:t xml:space="preserve">Prior PURA decisions left too much system flexibility that has been detrimental to customers and has not provided them what the Connecticut Legislature recognized is a key piece of rate information, the next cycle rate.  </w:t>
      </w:r>
      <w:r w:rsidR="00AF4FA0" w:rsidRPr="00AF4FA0">
        <w:rPr>
          <w:rFonts w:ascii="Century Schoolbook" w:hAnsi="Century Schoolbook"/>
          <w:color w:val="auto"/>
        </w:rPr>
        <w:t xml:space="preserve"> In a December 19, 2018 ruling, PURA agreed with OCC’s </w:t>
      </w:r>
      <w:r w:rsidR="00AF4FA0">
        <w:rPr>
          <w:rFonts w:ascii="Century Schoolbook" w:hAnsi="Century Schoolbook"/>
          <w:color w:val="auto"/>
        </w:rPr>
        <w:t xml:space="preserve">positions </w:t>
      </w:r>
      <w:r w:rsidR="00AF4FA0" w:rsidRPr="00AF4FA0">
        <w:rPr>
          <w:rFonts w:ascii="Century Schoolbook" w:hAnsi="Century Schoolbook"/>
        </w:rPr>
        <w:t xml:space="preserve">and concluded that it is the legal responsibility of retail electric suppliers licensed in the state of Connecticut to ensure compliance with Conn. Gen. Stat. </w:t>
      </w:r>
      <w:r w:rsidR="00AF4FA0" w:rsidRPr="00AF4FA0">
        <w:rPr>
          <w:rFonts w:ascii="Century Schoolbook" w:hAnsi="Century Schoolbook" w:cs="Arial"/>
        </w:rPr>
        <w:t>§16</w:t>
      </w:r>
      <w:r w:rsidR="00AF4FA0" w:rsidRPr="00AF4FA0">
        <w:rPr>
          <w:rFonts w:ascii="Century Schoolbook" w:hAnsi="Century Schoolbook" w:cs="Arial"/>
        </w:rPr>
        <w:noBreakHyphen/>
        <w:t>245d(a)(2)</w:t>
      </w:r>
      <w:r w:rsidR="00AF4FA0" w:rsidRPr="00AF4FA0">
        <w:rPr>
          <w:rFonts w:ascii="Century Schoolbook" w:hAnsi="Century Schoolbook"/>
        </w:rPr>
        <w:t xml:space="preserve"> </w:t>
      </w:r>
      <w:r w:rsidR="00AF4FA0" w:rsidRPr="00AF4FA0">
        <w:rPr>
          <w:rFonts w:ascii="Century Schoolbook" w:hAnsi="Century Schoolbook"/>
        </w:rPr>
        <w:lastRenderedPageBreak/>
        <w:t xml:space="preserve">by providing timely and accurate information to the electric distribution companies (EDCs) for inclusion on residential customer bills.  To implement progress in this area, PURA required that </w:t>
      </w:r>
      <w:r w:rsidR="00AF4FA0" w:rsidRPr="00AF4FA0">
        <w:rPr>
          <w:rFonts w:ascii="Century Schoolbook" w:hAnsi="Century Schoolbook" w:cs="Arial"/>
        </w:rPr>
        <w:t xml:space="preserve">the utility data processing systems of </w:t>
      </w:r>
      <w:proofErr w:type="spellStart"/>
      <w:r w:rsidR="00AF4FA0" w:rsidRPr="00AF4FA0">
        <w:rPr>
          <w:rFonts w:ascii="Century Schoolbook" w:hAnsi="Century Schoolbook" w:cs="Arial"/>
        </w:rPr>
        <w:t>Eversource</w:t>
      </w:r>
      <w:proofErr w:type="spellEnd"/>
      <w:r w:rsidR="00AF4FA0" w:rsidRPr="00AF4FA0">
        <w:rPr>
          <w:rFonts w:ascii="Century Schoolbook" w:hAnsi="Century Schoolbook" w:cs="Arial"/>
        </w:rPr>
        <w:t xml:space="preserve"> and UI must be redesigned at the expense of retail suppliers, also as sought by OCC.   </w:t>
      </w:r>
      <w:r w:rsidR="00AF4FA0">
        <w:rPr>
          <w:rFonts w:ascii="Century Schoolbook" w:hAnsi="Century Schoolbook" w:cs="Arial"/>
        </w:rPr>
        <w:t>The system redesign is still in progress as of the date of this report.</w:t>
      </w:r>
    </w:p>
    <w:p w14:paraId="730014BB" w14:textId="77777777" w:rsidR="00D62F62" w:rsidRPr="00BD167A" w:rsidRDefault="00D62F62" w:rsidP="00D5503B">
      <w:pPr>
        <w:pStyle w:val="Default"/>
        <w:ind w:left="1440" w:hanging="630"/>
        <w:jc w:val="both"/>
        <w:rPr>
          <w:rFonts w:ascii="Century Schoolbook" w:hAnsi="Century Schoolbook"/>
          <w:color w:val="auto"/>
          <w:u w:val="single"/>
        </w:rPr>
      </w:pPr>
    </w:p>
    <w:p w14:paraId="55E4B022" w14:textId="0E38F9EA" w:rsidR="00D62F62" w:rsidRDefault="00D62F62" w:rsidP="00AF4FA0">
      <w:pPr>
        <w:pStyle w:val="Default"/>
        <w:numPr>
          <w:ilvl w:val="0"/>
          <w:numId w:val="20"/>
        </w:numPr>
        <w:ind w:left="1440" w:hanging="630"/>
        <w:jc w:val="both"/>
        <w:rPr>
          <w:rFonts w:ascii="Century Schoolbook" w:hAnsi="Century Schoolbook"/>
          <w:color w:val="auto"/>
        </w:rPr>
      </w:pPr>
      <w:r w:rsidRPr="00C53A3E">
        <w:rPr>
          <w:rFonts w:ascii="Century Schoolbook" w:hAnsi="Century Schoolbook"/>
          <w:color w:val="auto"/>
        </w:rPr>
        <w:t xml:space="preserve">In Docket No. 18-12-22, PURA initiated a proceeding to explore granting amnesty from civil penalties to those electric suppliers offering refunds to their customers that have been overcharged due to next cycle rate billing errors investigated in Docket No. 14-07-19RE05. OCC advocated that suppliers seeking amnesty should be required to refund all customers, past and present, the full amount that they were overcharged, an approach that PURA pursued via Interim Draft Decision. Multiple suppliers have submitted amnesty plans to PURA, which are in the process of being audited. To date, two suppliers have had their plans approved and issued refunds to consumers. OCC continues its participation in this important docket. </w:t>
      </w:r>
    </w:p>
    <w:p w14:paraId="3AD83BCF" w14:textId="77777777" w:rsidR="00AF4FA0" w:rsidRPr="00AF4FA0" w:rsidRDefault="00AF4FA0" w:rsidP="00AF4FA0">
      <w:pPr>
        <w:pStyle w:val="Default"/>
        <w:ind w:left="1440"/>
        <w:jc w:val="both"/>
        <w:rPr>
          <w:rFonts w:ascii="Century Schoolbook" w:hAnsi="Century Schoolbook"/>
          <w:color w:val="auto"/>
        </w:rPr>
      </w:pPr>
    </w:p>
    <w:p w14:paraId="325F13D3" w14:textId="2F540C3D" w:rsidR="00410F8E" w:rsidRDefault="00D62F62" w:rsidP="00AF4FA0">
      <w:pPr>
        <w:pStyle w:val="Default"/>
        <w:numPr>
          <w:ilvl w:val="0"/>
          <w:numId w:val="20"/>
        </w:numPr>
        <w:ind w:left="1440" w:hanging="630"/>
        <w:jc w:val="both"/>
        <w:rPr>
          <w:rFonts w:ascii="Century Schoolbook" w:hAnsi="Century Schoolbook"/>
          <w:color w:val="auto"/>
        </w:rPr>
      </w:pPr>
      <w:r w:rsidRPr="00C53A3E">
        <w:rPr>
          <w:rFonts w:ascii="Century Schoolbook" w:hAnsi="Century Schoolbook"/>
          <w:color w:val="auto"/>
        </w:rPr>
        <w:t>In Docket No. 19-02-13, PURA investigated the alleged practice of certain electric suppliers altering the price terms in fixed-price contracts with commercial and industrial consumers, which suppliers attributed to changes in regional market rules. OCC advocated that the practice of changing pricing terms in a contract without express consumer consent was a violation of Connecticut law</w:t>
      </w:r>
      <w:r w:rsidR="00410F8E" w:rsidRPr="00C53A3E">
        <w:rPr>
          <w:rFonts w:ascii="Century Schoolbook" w:hAnsi="Century Schoolbook"/>
          <w:color w:val="auto"/>
        </w:rPr>
        <w:t xml:space="preserve"> and that the change in law provisions in the relevant contracts failed to provide adequate notice to consumers</w:t>
      </w:r>
      <w:r w:rsidRPr="00C53A3E">
        <w:rPr>
          <w:rFonts w:ascii="Century Schoolbook" w:hAnsi="Century Schoolbook"/>
          <w:color w:val="auto"/>
        </w:rPr>
        <w:t xml:space="preserve">. Ultimately, PURA referred this matter to the Attorney General and Department of Consumer Protection for additional investigation. </w:t>
      </w:r>
      <w:r w:rsidR="00410F8E" w:rsidRPr="00C53A3E">
        <w:rPr>
          <w:rFonts w:ascii="Century Schoolbook" w:hAnsi="Century Schoolbook"/>
          <w:color w:val="auto"/>
        </w:rPr>
        <w:t xml:space="preserve"> </w:t>
      </w:r>
    </w:p>
    <w:p w14:paraId="46665AC0" w14:textId="77777777" w:rsidR="00AF4FA0" w:rsidRPr="00AF4FA0" w:rsidRDefault="00AF4FA0" w:rsidP="00AF4FA0">
      <w:pPr>
        <w:pStyle w:val="Default"/>
        <w:ind w:left="1440"/>
        <w:jc w:val="both"/>
        <w:rPr>
          <w:rFonts w:ascii="Century Schoolbook" w:hAnsi="Century Schoolbook"/>
          <w:color w:val="auto"/>
        </w:rPr>
      </w:pPr>
    </w:p>
    <w:p w14:paraId="04885F1F" w14:textId="77777777" w:rsidR="00410F8E" w:rsidRPr="00C53A3E" w:rsidRDefault="00410F8E" w:rsidP="00C53A3E">
      <w:pPr>
        <w:pStyle w:val="Default"/>
        <w:numPr>
          <w:ilvl w:val="0"/>
          <w:numId w:val="20"/>
        </w:numPr>
        <w:ind w:left="1440" w:hanging="630"/>
        <w:jc w:val="both"/>
        <w:rPr>
          <w:rFonts w:ascii="Century Schoolbook" w:hAnsi="Century Schoolbook"/>
          <w:color w:val="auto"/>
        </w:rPr>
      </w:pPr>
      <w:r w:rsidRPr="00C53A3E">
        <w:rPr>
          <w:rFonts w:ascii="Century Schoolbook" w:hAnsi="Century Schoolbook"/>
          <w:color w:val="auto"/>
        </w:rPr>
        <w:t>In Docket No. 19-01-32, OCC represented natural gas ratepayers in the first ever petition for an industrial customer to take gas service under the newly created MFG rate class. Throughout the proceeding, OCC argued that any rate relief authorized under rate MFG should be prospective so as to protect the general class of natural gas ratepayers from retroactive charges. In its Draft Decision, PURA adopted OCC’s position and a Final Decision is expected shortly.</w:t>
      </w:r>
    </w:p>
    <w:p w14:paraId="7EB5D717" w14:textId="77777777" w:rsidR="00BC018D" w:rsidRPr="00BC018D" w:rsidRDefault="00BC018D" w:rsidP="00D5503B">
      <w:pPr>
        <w:pStyle w:val="Default"/>
        <w:ind w:left="1440" w:hanging="630"/>
        <w:jc w:val="both"/>
        <w:rPr>
          <w:rFonts w:ascii="Century Schoolbook" w:hAnsi="Century Schoolbook"/>
          <w:color w:val="auto"/>
          <w:u w:val="single"/>
        </w:rPr>
      </w:pPr>
    </w:p>
    <w:p w14:paraId="21097B5A" w14:textId="65F64575" w:rsidR="00BC018D" w:rsidRPr="006271FD" w:rsidRDefault="00B71F93" w:rsidP="006271FD">
      <w:pPr>
        <w:pStyle w:val="Default"/>
        <w:numPr>
          <w:ilvl w:val="0"/>
          <w:numId w:val="20"/>
        </w:numPr>
        <w:ind w:hanging="720"/>
        <w:jc w:val="both"/>
        <w:rPr>
          <w:rFonts w:ascii="Century Schoolbook" w:hAnsi="Century Schoolbook"/>
          <w:color w:val="auto"/>
        </w:rPr>
      </w:pPr>
      <w:r w:rsidRPr="00AF4FA0">
        <w:rPr>
          <w:rFonts w:ascii="Century Schoolbook" w:hAnsi="Century Schoolbook"/>
          <w:color w:val="auto"/>
        </w:rPr>
        <w:t>In</w:t>
      </w:r>
      <w:r>
        <w:rPr>
          <w:rFonts w:ascii="Century Schoolbook" w:hAnsi="Century Schoolbook"/>
          <w:color w:val="auto"/>
        </w:rPr>
        <w:t xml:space="preserve"> Docket No. 17-10-31, PURA investigated a claim by the Conservation Law Foundation (“CLF”) that the natural gas utilities, also known as Local D</w:t>
      </w:r>
      <w:r w:rsidR="00322C1B">
        <w:rPr>
          <w:rFonts w:ascii="Century Schoolbook" w:hAnsi="Century Schoolbook"/>
          <w:color w:val="auto"/>
        </w:rPr>
        <w:t>istribution Companies or “LDCs,”</w:t>
      </w:r>
      <w:r>
        <w:rPr>
          <w:rFonts w:ascii="Century Schoolbook" w:hAnsi="Century Schoolbook"/>
          <w:color w:val="auto"/>
        </w:rPr>
        <w:t xml:space="preserve"> were mishandling their gas pipeline contracts and assets and creating artificial shortages.  </w:t>
      </w:r>
      <w:r w:rsidR="00322C1B">
        <w:rPr>
          <w:rFonts w:ascii="Century Schoolbook" w:hAnsi="Century Schoolbook"/>
          <w:color w:val="auto"/>
        </w:rPr>
        <w:t xml:space="preserve">The LDCs make contractual arrangements with interstate pipelines as part of a portfolio of resources (along with </w:t>
      </w:r>
      <w:r w:rsidR="00322C1B">
        <w:rPr>
          <w:rFonts w:ascii="Century Schoolbook" w:hAnsi="Century Schoolbook"/>
          <w:color w:val="auto"/>
        </w:rPr>
        <w:lastRenderedPageBreak/>
        <w:t xml:space="preserve">locally stored liquefied natural gas) to meet customer’s peak needs for heating fuel in the winter.  </w:t>
      </w:r>
      <w:r>
        <w:rPr>
          <w:rFonts w:ascii="Century Schoolbook" w:hAnsi="Century Schoolbook"/>
          <w:color w:val="auto"/>
        </w:rPr>
        <w:t>OCC inv</w:t>
      </w:r>
      <w:r w:rsidR="00322C1B">
        <w:rPr>
          <w:rFonts w:ascii="Century Schoolbook" w:hAnsi="Century Schoolbook"/>
          <w:color w:val="auto"/>
        </w:rPr>
        <w:t>estigated these</w:t>
      </w:r>
      <w:r>
        <w:rPr>
          <w:rFonts w:ascii="Century Schoolbook" w:hAnsi="Century Schoolbook"/>
          <w:color w:val="auto"/>
        </w:rPr>
        <w:t xml:space="preserve"> </w:t>
      </w:r>
      <w:r w:rsidR="00322C1B">
        <w:rPr>
          <w:rFonts w:ascii="Century Schoolbook" w:hAnsi="Century Schoolbook"/>
          <w:color w:val="auto"/>
        </w:rPr>
        <w:t xml:space="preserve">CLF </w:t>
      </w:r>
      <w:r>
        <w:rPr>
          <w:rFonts w:ascii="Century Schoolbook" w:hAnsi="Century Schoolbook"/>
          <w:color w:val="auto"/>
        </w:rPr>
        <w:t>claim</w:t>
      </w:r>
      <w:r w:rsidR="00322C1B">
        <w:rPr>
          <w:rFonts w:ascii="Century Schoolbook" w:hAnsi="Century Schoolbook"/>
          <w:color w:val="auto"/>
        </w:rPr>
        <w:t>s through highly-experienced consultants</w:t>
      </w:r>
      <w:r>
        <w:rPr>
          <w:rFonts w:ascii="Century Schoolbook" w:hAnsi="Century Schoolbook"/>
          <w:color w:val="auto"/>
        </w:rPr>
        <w:t xml:space="preserve"> </w:t>
      </w:r>
      <w:r w:rsidR="00322C1B">
        <w:rPr>
          <w:rFonts w:ascii="Century Schoolbook" w:hAnsi="Century Schoolbook"/>
          <w:color w:val="auto"/>
        </w:rPr>
        <w:t xml:space="preserve">hired for this proceeding </w:t>
      </w:r>
      <w:r>
        <w:rPr>
          <w:rFonts w:ascii="Century Schoolbook" w:hAnsi="Century Schoolbook"/>
          <w:color w:val="auto"/>
        </w:rPr>
        <w:t>and found</w:t>
      </w:r>
      <w:r w:rsidR="00322C1B">
        <w:rPr>
          <w:rFonts w:ascii="Century Schoolbook" w:hAnsi="Century Schoolbook"/>
          <w:color w:val="auto"/>
        </w:rPr>
        <w:t xml:space="preserve"> the CLF claims to have no merit, and advanced that position to PURA</w:t>
      </w:r>
      <w:r>
        <w:rPr>
          <w:rFonts w:ascii="Century Schoolbook" w:hAnsi="Century Schoolbook"/>
          <w:color w:val="auto"/>
        </w:rPr>
        <w:t>.  OCC determined that our LDCs are responsibly managing their contracts and assets</w:t>
      </w:r>
      <w:r w:rsidR="00322C1B">
        <w:rPr>
          <w:rFonts w:ascii="Century Schoolbook" w:hAnsi="Century Schoolbook"/>
          <w:color w:val="auto"/>
        </w:rPr>
        <w:t xml:space="preserve"> to meet the needs of customers</w:t>
      </w:r>
      <w:r>
        <w:rPr>
          <w:rFonts w:ascii="Century Schoolbook" w:hAnsi="Century Schoolbook"/>
          <w:color w:val="auto"/>
        </w:rPr>
        <w:t xml:space="preserve">.  </w:t>
      </w:r>
      <w:r w:rsidR="000E1156">
        <w:rPr>
          <w:rFonts w:ascii="Century Schoolbook" w:hAnsi="Century Schoolbook"/>
          <w:color w:val="auto"/>
        </w:rPr>
        <w:t xml:space="preserve">PURA’s </w:t>
      </w:r>
      <w:r w:rsidR="0017585A">
        <w:rPr>
          <w:rFonts w:ascii="Century Schoolbook" w:hAnsi="Century Schoolbook"/>
          <w:color w:val="auto"/>
        </w:rPr>
        <w:t xml:space="preserve">December 12, 2018 </w:t>
      </w:r>
      <w:r w:rsidR="000E1156">
        <w:rPr>
          <w:rFonts w:ascii="Century Schoolbook" w:hAnsi="Century Schoolbook"/>
          <w:color w:val="auto"/>
        </w:rPr>
        <w:t>Final Decision agreed with OCC’s stance and rejected the CLF claim.</w:t>
      </w:r>
    </w:p>
    <w:p w14:paraId="03CDF80D" w14:textId="77777777" w:rsidR="00D16E67" w:rsidRPr="00D16E67" w:rsidRDefault="00D16E67" w:rsidP="00D5503B">
      <w:pPr>
        <w:pStyle w:val="Default"/>
        <w:ind w:left="1440" w:hanging="630"/>
        <w:jc w:val="both"/>
        <w:rPr>
          <w:rFonts w:ascii="Century Schoolbook" w:hAnsi="Century Schoolbook"/>
          <w:color w:val="auto"/>
          <w:u w:val="single"/>
        </w:rPr>
      </w:pPr>
    </w:p>
    <w:p w14:paraId="0FB1C1B9" w14:textId="77777777" w:rsidR="00E61371" w:rsidRDefault="00E61371" w:rsidP="00C53A3E">
      <w:pPr>
        <w:pStyle w:val="Default"/>
        <w:numPr>
          <w:ilvl w:val="0"/>
          <w:numId w:val="20"/>
        </w:numPr>
        <w:ind w:left="1440" w:hanging="630"/>
        <w:jc w:val="both"/>
        <w:rPr>
          <w:rFonts w:ascii="Century Schoolbook" w:hAnsi="Century Schoolbook"/>
          <w:color w:val="auto"/>
          <w:u w:val="single"/>
        </w:rPr>
      </w:pPr>
      <w:r>
        <w:rPr>
          <w:rFonts w:ascii="Century Schoolbook" w:hAnsi="Century Schoolbook"/>
          <w:color w:val="auto"/>
        </w:rPr>
        <w:t>In Docket No. 11-03-07RE01</w:t>
      </w:r>
      <w:r w:rsidR="00322C1B">
        <w:rPr>
          <w:rFonts w:ascii="Century Schoolbook" w:hAnsi="Century Schoolbook"/>
          <w:color w:val="auto"/>
        </w:rPr>
        <w:t>, relating to the standards for utility pole administration by the electric distribution companies as</w:t>
      </w:r>
      <w:r>
        <w:rPr>
          <w:rFonts w:ascii="Century Schoolbook" w:hAnsi="Century Schoolbook"/>
          <w:color w:val="auto"/>
        </w:rPr>
        <w:t xml:space="preserve"> Single Pole Administrator</w:t>
      </w:r>
      <w:r w:rsidR="00322C1B">
        <w:rPr>
          <w:rFonts w:ascii="Century Schoolbook" w:hAnsi="Century Schoolbook"/>
          <w:color w:val="auto"/>
        </w:rPr>
        <w:t xml:space="preserve"> in their respective territories</w:t>
      </w:r>
      <w:r>
        <w:rPr>
          <w:rFonts w:ascii="Century Schoolbook" w:hAnsi="Century Schoolbook"/>
          <w:color w:val="auto"/>
        </w:rPr>
        <w:t>, OCC continued to lead the advocacy before PURA to develop a statewide utility pole and conduit management process to streamline access by competitors and new advanced technology providers in an equitable platform to help make Connecticut competitive among the states</w:t>
      </w:r>
      <w:r w:rsidR="00322C1B">
        <w:rPr>
          <w:rFonts w:ascii="Century Schoolbook" w:hAnsi="Century Schoolbook"/>
          <w:color w:val="auto"/>
        </w:rPr>
        <w:t xml:space="preserve"> in terms of broadband access and speed</w:t>
      </w:r>
      <w:r>
        <w:rPr>
          <w:rFonts w:ascii="Century Schoolbook" w:hAnsi="Century Schoolbook"/>
          <w:color w:val="auto"/>
        </w:rPr>
        <w:t xml:space="preserve">. For this period, the process of </w:t>
      </w:r>
      <w:proofErr w:type="spellStart"/>
      <w:r>
        <w:rPr>
          <w:rFonts w:ascii="Century Schoolbook" w:hAnsi="Century Schoolbook"/>
          <w:color w:val="auto"/>
        </w:rPr>
        <w:t>overlashing</w:t>
      </w:r>
      <w:proofErr w:type="spellEnd"/>
      <w:r>
        <w:rPr>
          <w:rFonts w:ascii="Century Schoolbook" w:hAnsi="Century Schoolbook"/>
          <w:color w:val="auto"/>
        </w:rPr>
        <w:t xml:space="preserve"> (</w:t>
      </w:r>
      <w:r w:rsidR="00322C1B">
        <w:rPr>
          <w:rFonts w:ascii="Century Schoolbook" w:hAnsi="Century Schoolbook"/>
          <w:color w:val="auto"/>
        </w:rPr>
        <w:t xml:space="preserve">applying new wires </w:t>
      </w:r>
      <w:r>
        <w:rPr>
          <w:rFonts w:ascii="Century Schoolbook" w:hAnsi="Century Schoolbook"/>
          <w:color w:val="auto"/>
        </w:rPr>
        <w:t xml:space="preserve">over existing strands or cables) was </w:t>
      </w:r>
      <w:r w:rsidR="007A0448">
        <w:rPr>
          <w:rFonts w:ascii="Century Schoolbook" w:hAnsi="Century Schoolbook"/>
          <w:color w:val="auto"/>
        </w:rPr>
        <w:t xml:space="preserve">litigated before PURA.  OCC was pleased that PURA adopted OCC’s idea and proposal and ordered the development of </w:t>
      </w:r>
      <w:r>
        <w:rPr>
          <w:rFonts w:ascii="Century Schoolbook" w:hAnsi="Century Schoolbook"/>
          <w:color w:val="auto"/>
        </w:rPr>
        <w:t>statewide pole and attachments database</w:t>
      </w:r>
      <w:r w:rsidR="007A0448">
        <w:rPr>
          <w:rFonts w:ascii="Century Schoolbook" w:hAnsi="Century Schoolbook"/>
          <w:color w:val="auto"/>
        </w:rPr>
        <w:t xml:space="preserve"> called the Connecticut Utility Pole Database</w:t>
      </w:r>
      <w:r>
        <w:rPr>
          <w:rFonts w:ascii="Century Schoolbook" w:hAnsi="Century Schoolbook"/>
          <w:color w:val="auto"/>
        </w:rPr>
        <w:t>.  The docket’s working group will once again dig in on the database issue with OCC as a lead participant.</w:t>
      </w:r>
      <w:r w:rsidR="007A0448">
        <w:rPr>
          <w:rFonts w:ascii="Century Schoolbook" w:hAnsi="Century Schoolbook"/>
          <w:color w:val="auto"/>
        </w:rPr>
        <w:t xml:space="preserve">  In the meantime, Frontier has filed an appeal of PURA’s ruling with the Superior Court and OCC has intervened on the side of PURA.</w:t>
      </w:r>
    </w:p>
    <w:p w14:paraId="3161961F" w14:textId="77777777" w:rsidR="00171BAF" w:rsidRPr="00B466CC" w:rsidRDefault="00171BAF" w:rsidP="00D5503B">
      <w:pPr>
        <w:pStyle w:val="Default"/>
        <w:ind w:left="1440" w:hanging="630"/>
        <w:jc w:val="both"/>
        <w:rPr>
          <w:rFonts w:ascii="Century Schoolbook" w:hAnsi="Century Schoolbook"/>
          <w:color w:val="auto"/>
          <w:u w:val="single"/>
        </w:rPr>
      </w:pPr>
    </w:p>
    <w:p w14:paraId="07C8FAC8" w14:textId="60A3F1E1" w:rsidR="00E61371" w:rsidRPr="00C40961" w:rsidRDefault="003E293A" w:rsidP="00C53A3E">
      <w:pPr>
        <w:pStyle w:val="Default"/>
        <w:numPr>
          <w:ilvl w:val="0"/>
          <w:numId w:val="20"/>
        </w:numPr>
        <w:ind w:left="1440" w:hanging="630"/>
        <w:jc w:val="both"/>
        <w:rPr>
          <w:rFonts w:ascii="Century Schoolbook" w:hAnsi="Century Schoolbook"/>
          <w:color w:val="auto"/>
          <w:u w:val="single"/>
        </w:rPr>
      </w:pPr>
      <w:r>
        <w:rPr>
          <w:rFonts w:ascii="Century Schoolbook" w:hAnsi="Century Schoolbook"/>
          <w:color w:val="auto"/>
        </w:rPr>
        <w:t>Docket No. 17-09-37</w:t>
      </w:r>
      <w:r w:rsidR="00E61371">
        <w:rPr>
          <w:rFonts w:ascii="Century Schoolbook" w:hAnsi="Century Schoolbook"/>
          <w:color w:val="auto"/>
        </w:rPr>
        <w:t xml:space="preserve">, Municipal Gain Declaratory Ruling, </w:t>
      </w:r>
      <w:r>
        <w:rPr>
          <w:rFonts w:ascii="Century Schoolbook" w:hAnsi="Century Schoolbook"/>
          <w:color w:val="auto"/>
        </w:rPr>
        <w:t xml:space="preserve">dealt with a petition </w:t>
      </w:r>
      <w:r w:rsidR="00E61371">
        <w:rPr>
          <w:rFonts w:ascii="Century Schoolbook" w:hAnsi="Century Schoolbook"/>
          <w:color w:val="auto"/>
        </w:rPr>
        <w:t xml:space="preserve">to </w:t>
      </w:r>
      <w:r>
        <w:rPr>
          <w:rFonts w:ascii="Century Schoolbook" w:hAnsi="Century Schoolbook"/>
          <w:color w:val="auto"/>
        </w:rPr>
        <w:t xml:space="preserve">determine </w:t>
      </w:r>
      <w:r w:rsidR="00E61371">
        <w:rPr>
          <w:rFonts w:ascii="Century Schoolbook" w:hAnsi="Century Schoolbook"/>
          <w:color w:val="auto"/>
        </w:rPr>
        <w:t xml:space="preserve">the </w:t>
      </w:r>
      <w:r>
        <w:rPr>
          <w:rFonts w:ascii="Century Schoolbook" w:hAnsi="Century Schoolbook"/>
          <w:color w:val="auto"/>
        </w:rPr>
        <w:t xml:space="preserve">scope of the </w:t>
      </w:r>
      <w:r w:rsidR="00E61371">
        <w:rPr>
          <w:rFonts w:ascii="Century Schoolbook" w:hAnsi="Century Schoolbook"/>
          <w:color w:val="auto"/>
        </w:rPr>
        <w:t>statutory rights granted to all 169 municipalities by the state General Assembly (since 1905) to affordable access to a designated location</w:t>
      </w:r>
      <w:r w:rsidR="00BC018D">
        <w:rPr>
          <w:rFonts w:ascii="Century Schoolbook" w:hAnsi="Century Schoolbook"/>
          <w:color w:val="auto"/>
        </w:rPr>
        <w:t>, called the “municipal gain”</w:t>
      </w:r>
      <w:r w:rsidR="00E61371">
        <w:rPr>
          <w:rFonts w:ascii="Century Schoolbook" w:hAnsi="Century Schoolbook"/>
          <w:color w:val="auto"/>
        </w:rPr>
        <w:t xml:space="preserve"> on all utility poles and in telecom conduit</w:t>
      </w:r>
      <w:r w:rsidR="00BC018D">
        <w:rPr>
          <w:rFonts w:ascii="Century Schoolbook" w:hAnsi="Century Schoolbook"/>
          <w:color w:val="auto"/>
        </w:rPr>
        <w:t xml:space="preserve">.  The focus is on whether municipalities can seek to serve their citizens, including some who today do not have any broadband access or can only access the internet at very slow speeds, with high-speed </w:t>
      </w:r>
      <w:r>
        <w:rPr>
          <w:rFonts w:ascii="Century Schoolbook" w:hAnsi="Century Schoolbook"/>
          <w:color w:val="auto"/>
        </w:rPr>
        <w:t>broadband services</w:t>
      </w:r>
      <w:r w:rsidR="00BC018D">
        <w:rPr>
          <w:rFonts w:ascii="Century Schoolbook" w:hAnsi="Century Schoolbook"/>
          <w:color w:val="auto"/>
        </w:rPr>
        <w:t xml:space="preserve"> through the municipal gain</w:t>
      </w:r>
      <w:r>
        <w:rPr>
          <w:rFonts w:ascii="Century Schoolbook" w:hAnsi="Century Schoolbook"/>
          <w:color w:val="auto"/>
        </w:rPr>
        <w:t xml:space="preserve">.  PURA ruled, over OCC’s objection, that under the statute, municipalities </w:t>
      </w:r>
      <w:r w:rsidR="00BC018D">
        <w:rPr>
          <w:rFonts w:ascii="Century Schoolbook" w:hAnsi="Century Schoolbook"/>
          <w:color w:val="auto"/>
        </w:rPr>
        <w:t>may not provide broadband to the general public</w:t>
      </w:r>
      <w:r w:rsidR="00E61371">
        <w:rPr>
          <w:rFonts w:ascii="Century Schoolbook" w:hAnsi="Century Schoolbook"/>
          <w:color w:val="auto"/>
        </w:rPr>
        <w:t>. This docket is the third in as many years to attempt to clarify the parameters of this statute, and OCC along with a municipalities association and several municipalities have initiated an administrative appeal of the PURA final decision</w:t>
      </w:r>
      <w:r w:rsidR="00BC018D">
        <w:rPr>
          <w:rFonts w:ascii="Century Schoolbook" w:hAnsi="Century Schoolbook"/>
          <w:color w:val="auto"/>
        </w:rPr>
        <w:t>.</w:t>
      </w:r>
      <w:r w:rsidR="0017585A">
        <w:rPr>
          <w:rFonts w:ascii="Century Schoolbook" w:hAnsi="Century Schoolbook"/>
          <w:color w:val="auto"/>
        </w:rPr>
        <w:t xml:space="preserve">  Oral argument occurred before the Superior Court on August 14, 2019.</w:t>
      </w:r>
    </w:p>
    <w:p w14:paraId="44498420" w14:textId="77777777" w:rsidR="00171BAF" w:rsidRPr="00B466CC" w:rsidRDefault="00171BAF" w:rsidP="00D5503B">
      <w:pPr>
        <w:pStyle w:val="Default"/>
        <w:ind w:left="1440" w:hanging="630"/>
        <w:jc w:val="both"/>
        <w:rPr>
          <w:rFonts w:ascii="Century Schoolbook" w:hAnsi="Century Schoolbook"/>
          <w:color w:val="auto"/>
          <w:u w:val="single"/>
        </w:rPr>
      </w:pPr>
    </w:p>
    <w:p w14:paraId="535EA5AD" w14:textId="77777777" w:rsidR="00A50CD0" w:rsidRPr="007A0448" w:rsidRDefault="00E61371" w:rsidP="00C53A3E">
      <w:pPr>
        <w:pStyle w:val="Default"/>
        <w:numPr>
          <w:ilvl w:val="0"/>
          <w:numId w:val="20"/>
        </w:numPr>
        <w:ind w:left="1440" w:hanging="630"/>
        <w:jc w:val="both"/>
        <w:rPr>
          <w:rFonts w:ascii="Century Schoolbook" w:hAnsi="Century Schoolbook"/>
          <w:color w:val="auto"/>
          <w:u w:val="single"/>
        </w:rPr>
      </w:pPr>
      <w:r w:rsidRPr="00C40961">
        <w:rPr>
          <w:rFonts w:ascii="Century Schoolbook" w:hAnsi="Century Schoolbook"/>
          <w:color w:val="auto"/>
        </w:rPr>
        <w:t xml:space="preserve">In Docket No. 17-02-49, Small Cell jurisdiction and notice to adjoining property owners, the OCC successfully detailed the separate authority </w:t>
      </w:r>
      <w:r w:rsidRPr="00C40961">
        <w:rPr>
          <w:rFonts w:ascii="Century Schoolbook" w:hAnsi="Century Schoolbook"/>
          <w:color w:val="auto"/>
        </w:rPr>
        <w:lastRenderedPageBreak/>
        <w:t xml:space="preserve">of the FCC, PURA, and the CT Siting Council with reference to various new types of cellular infrastructure and services, thereby reducing the number of state superior court challenges that have been opened.  This issue has national significance at Congress and the FCC since it has direct impact on the implementation of 5G cellular service, the proposed future wireless technology to be </w:t>
      </w:r>
      <w:r w:rsidR="007A0448">
        <w:rPr>
          <w:rFonts w:ascii="Century Schoolbook" w:hAnsi="Century Schoolbook"/>
          <w:color w:val="auto"/>
        </w:rPr>
        <w:t xml:space="preserve">developed </w:t>
      </w:r>
      <w:r w:rsidRPr="00C40961">
        <w:rPr>
          <w:rFonts w:ascii="Century Schoolbook" w:hAnsi="Century Schoolbook"/>
          <w:color w:val="auto"/>
        </w:rPr>
        <w:t>in the next few years.</w:t>
      </w:r>
    </w:p>
    <w:p w14:paraId="7106C6D2" w14:textId="77777777" w:rsidR="007A0448" w:rsidRPr="007A0448" w:rsidRDefault="007A0448" w:rsidP="00D5503B">
      <w:pPr>
        <w:pStyle w:val="Default"/>
        <w:ind w:left="1440" w:hanging="630"/>
        <w:jc w:val="both"/>
        <w:rPr>
          <w:rFonts w:ascii="Century Schoolbook" w:hAnsi="Century Schoolbook"/>
          <w:color w:val="auto"/>
          <w:u w:val="single"/>
        </w:rPr>
      </w:pPr>
    </w:p>
    <w:p w14:paraId="604D5438" w14:textId="207D5FCE" w:rsidR="000E1156" w:rsidRDefault="000E1156" w:rsidP="00C53A3E">
      <w:pPr>
        <w:pStyle w:val="Default"/>
        <w:numPr>
          <w:ilvl w:val="0"/>
          <w:numId w:val="20"/>
        </w:numPr>
        <w:ind w:left="1440" w:hanging="630"/>
        <w:jc w:val="both"/>
        <w:rPr>
          <w:rFonts w:ascii="Century Schoolbook" w:eastAsia="Times New Roman" w:hAnsi="Century Schoolbook"/>
          <w:bCs/>
        </w:rPr>
      </w:pPr>
      <w:r>
        <w:rPr>
          <w:rFonts w:ascii="Century Schoolbook" w:eastAsia="Times New Roman" w:hAnsi="Century Schoolbook"/>
          <w:bCs/>
        </w:rPr>
        <w:t>In Docket No. 18-05-04, OCC has worked with DEEP and other state parties on the procurement and development of a contract with the Millstone Nuclear Power Station in Waterford, Connecticut</w:t>
      </w:r>
      <w:r w:rsidR="00AA7093">
        <w:rPr>
          <w:rFonts w:ascii="Century Schoolbook" w:eastAsia="Times New Roman" w:hAnsi="Century Schoolbook"/>
          <w:bCs/>
        </w:rPr>
        <w:t xml:space="preserve"> (“Millstone”)</w:t>
      </w:r>
      <w:r w:rsidR="0017585A">
        <w:rPr>
          <w:rFonts w:ascii="Century Schoolbook" w:eastAsia="Times New Roman" w:hAnsi="Century Schoolbook"/>
          <w:bCs/>
        </w:rPr>
        <w:t xml:space="preserve"> owned by Dominion</w:t>
      </w:r>
      <w:r>
        <w:rPr>
          <w:rFonts w:ascii="Century Schoolbook" w:eastAsia="Times New Roman" w:hAnsi="Century Schoolbook"/>
          <w:bCs/>
        </w:rPr>
        <w:t xml:space="preserve">.  </w:t>
      </w:r>
      <w:r w:rsidR="00AA7093">
        <w:rPr>
          <w:rFonts w:ascii="Century Schoolbook" w:eastAsia="Times New Roman" w:hAnsi="Century Schoolbook"/>
          <w:bCs/>
        </w:rPr>
        <w:t xml:space="preserve">The contract will result in a major energy purchase by Connecticut electric customers from Millstone that is expected to preserve Millstone in operation for at least ten years and yield an estimated net $2 billion in customer benefits, plus reliability and environmental benefits, by avoiding a premature retirement of Millstone.  The proposed contract with </w:t>
      </w:r>
      <w:r w:rsidR="0017585A">
        <w:rPr>
          <w:rFonts w:ascii="Century Schoolbook" w:eastAsia="Times New Roman" w:hAnsi="Century Schoolbook"/>
          <w:bCs/>
        </w:rPr>
        <w:t xml:space="preserve">Dominion for </w:t>
      </w:r>
      <w:r w:rsidR="00AA7093">
        <w:rPr>
          <w:rFonts w:ascii="Century Schoolbook" w:eastAsia="Times New Roman" w:hAnsi="Century Schoolbook"/>
          <w:bCs/>
        </w:rPr>
        <w:t>Millstone is presently before PURA for approval in this case.</w:t>
      </w:r>
    </w:p>
    <w:p w14:paraId="78B6564E" w14:textId="77777777" w:rsidR="0037114C" w:rsidRDefault="0037114C" w:rsidP="0017585A">
      <w:pPr>
        <w:pStyle w:val="Default"/>
        <w:jc w:val="both"/>
        <w:rPr>
          <w:rFonts w:ascii="Century Schoolbook" w:eastAsia="Times New Roman" w:hAnsi="Century Schoolbook"/>
          <w:bCs/>
        </w:rPr>
      </w:pPr>
    </w:p>
    <w:p w14:paraId="545F49AA" w14:textId="685B9F7E" w:rsidR="001D551B" w:rsidRPr="00226B80" w:rsidRDefault="001D551B" w:rsidP="00C53A3E">
      <w:pPr>
        <w:pStyle w:val="Default"/>
        <w:numPr>
          <w:ilvl w:val="0"/>
          <w:numId w:val="20"/>
        </w:numPr>
        <w:ind w:left="1440" w:hanging="630"/>
        <w:jc w:val="both"/>
        <w:rPr>
          <w:rFonts w:ascii="Century Schoolbook" w:hAnsi="Century Schoolbook" w:cs="Arial"/>
        </w:rPr>
      </w:pPr>
      <w:r w:rsidRPr="00226B80">
        <w:rPr>
          <w:rFonts w:ascii="Century Schoolbook" w:hAnsi="Century Schoolbook" w:cs="Arial"/>
        </w:rPr>
        <w:t xml:space="preserve">In Docket No. 18-11-12, The OCC </w:t>
      </w:r>
      <w:r>
        <w:rPr>
          <w:rFonts w:ascii="Century Schoolbook" w:hAnsi="Century Schoolbook"/>
        </w:rPr>
        <w:t>raised</w:t>
      </w:r>
      <w:r w:rsidRPr="00226B80">
        <w:rPr>
          <w:rFonts w:ascii="Century Schoolbook" w:hAnsi="Century Schoolbook" w:cs="Arial"/>
        </w:rPr>
        <w:t xml:space="preserve"> questions and concerns that led, in part, to the Company’s reduced cost recovery request.  Overall, PURA’s Final Decision (“Decision”) reduced the </w:t>
      </w:r>
      <w:r w:rsidRPr="00226B80">
        <w:rPr>
          <w:rFonts w:ascii="Century Schoolbook" w:eastAsia="Calibri" w:hAnsi="Century Schoolbook" w:cs="Arial"/>
        </w:rPr>
        <w:t xml:space="preserve">Company’s proposed incremental storm costs by </w:t>
      </w:r>
      <w:r w:rsidR="0017585A">
        <w:rPr>
          <w:rFonts w:ascii="Century Schoolbook" w:eastAsia="Calibri" w:hAnsi="Century Schoolbook" w:cs="Arial"/>
        </w:rPr>
        <w:t xml:space="preserve">about </w:t>
      </w:r>
      <w:r w:rsidRPr="00226B80">
        <w:rPr>
          <w:rFonts w:ascii="Century Schoolbook" w:eastAsia="Calibri" w:hAnsi="Century Schoolbook" w:cs="Arial"/>
        </w:rPr>
        <w:t>$4.538 million,</w:t>
      </w:r>
      <w:r>
        <w:rPr>
          <w:rFonts w:ascii="Century Schoolbook" w:eastAsia="Calibri" w:hAnsi="Century Schoolbook"/>
        </w:rPr>
        <w:t xml:space="preserve"> which allows</w:t>
      </w:r>
      <w:r w:rsidRPr="00226B80">
        <w:rPr>
          <w:rFonts w:ascii="Century Schoolbook" w:eastAsia="Calibri" w:hAnsi="Century Schoolbook" w:cs="Arial"/>
        </w:rPr>
        <w:t xml:space="preserve"> the Company to recover approximately $141 million, over six years, from ratepayers beginning on May 1, 2019.  On an annual basis, that will impact bills but at levels below a 1% overall bill increase.  </w:t>
      </w:r>
      <w:r w:rsidRPr="00226B80">
        <w:rPr>
          <w:rFonts w:ascii="Century Schoolbook" w:hAnsi="Century Schoolbook" w:cs="Arial"/>
        </w:rPr>
        <w:t xml:space="preserve">Additionally, OCC </w:t>
      </w:r>
      <w:r w:rsidRPr="00226B80">
        <w:rPr>
          <w:rFonts w:ascii="Century Schoolbook" w:eastAsia="Calibri" w:hAnsi="Century Schoolbook" w:cs="Arial"/>
        </w:rPr>
        <w:t xml:space="preserve">made recommendations to PURA for several storm cost adjustments including but not limited to the disallowance of Emergency Response Plan (“ERP”) Award Payments.  ERP payments are made by </w:t>
      </w:r>
      <w:proofErr w:type="spellStart"/>
      <w:r w:rsidRPr="00226B80">
        <w:rPr>
          <w:rFonts w:ascii="Century Schoolbook" w:eastAsia="Calibri" w:hAnsi="Century Schoolbook" w:cs="Arial"/>
        </w:rPr>
        <w:t>Eversource</w:t>
      </w:r>
      <w:proofErr w:type="spellEnd"/>
      <w:r w:rsidRPr="00226B80">
        <w:rPr>
          <w:rFonts w:ascii="Century Schoolbook" w:eastAsia="Calibri" w:hAnsi="Century Schoolbook" w:cs="Arial"/>
        </w:rPr>
        <w:t xml:space="preserve"> to salaried company personnel for extraordinary performance levels during the storm.  OCC does not deny that both customers and the Company benefit from high-quality storm service, but argued that the ERP Award levels authorized by Company management were discretionary and arbitrary, as they were not closely based on any discernible criteria such as hours worked or goals reached and it is unclear whether ERP awards m</w:t>
      </w:r>
      <w:r>
        <w:rPr>
          <w:rFonts w:ascii="Century Schoolbook" w:eastAsia="Calibri" w:hAnsi="Century Schoolbook"/>
        </w:rPr>
        <w:t>a</w:t>
      </w:r>
      <w:r w:rsidRPr="00226B80">
        <w:rPr>
          <w:rFonts w:ascii="Century Schoolbook" w:eastAsia="Calibri" w:hAnsi="Century Schoolbook" w:cs="Arial"/>
        </w:rPr>
        <w:t xml:space="preserve">y duplicate the existing incentive compensation plan.  OCC therefore recommended disallowance of ratepayer recovery.  </w:t>
      </w:r>
      <w:r>
        <w:rPr>
          <w:rFonts w:ascii="Century Schoolbook" w:eastAsia="Calibri" w:hAnsi="Century Schoolbook"/>
        </w:rPr>
        <w:t xml:space="preserve">Additionally, </w:t>
      </w:r>
      <w:r w:rsidRPr="00226B80">
        <w:rPr>
          <w:rFonts w:ascii="Century Schoolbook" w:eastAsia="Calibri" w:hAnsi="Century Schoolbook" w:cs="Arial"/>
        </w:rPr>
        <w:t xml:space="preserve">OCC recommended that the Company develop cost control standards specifically related to storm costs, similar to those identified in findings to prior post storm audits.   </w:t>
      </w:r>
      <w:r w:rsidRPr="00226B80">
        <w:rPr>
          <w:rFonts w:ascii="Century Schoolbook" w:hAnsi="Century Schoolbook" w:cs="Arial"/>
        </w:rPr>
        <w:t xml:space="preserve">The Company stated it should be allowed to recover the approximately $1,750,000 ERP Award payments in rates in order to continue to motivate salaried employees to continue to make extraordinary efforts during storm restorations. In its Decision, despite </w:t>
      </w:r>
      <w:r w:rsidRPr="00226B80">
        <w:rPr>
          <w:rFonts w:ascii="Century Schoolbook" w:hAnsi="Century Schoolbook" w:cs="Arial"/>
        </w:rPr>
        <w:lastRenderedPageBreak/>
        <w:t xml:space="preserve">OCC’s objection, PURA </w:t>
      </w:r>
      <w:r>
        <w:rPr>
          <w:rFonts w:ascii="Century Schoolbook" w:hAnsi="Century Schoolbook"/>
        </w:rPr>
        <w:t>allowed</w:t>
      </w:r>
      <w:r w:rsidRPr="00226B80">
        <w:rPr>
          <w:rFonts w:ascii="Century Schoolbook" w:hAnsi="Century Schoolbook" w:cs="Arial"/>
        </w:rPr>
        <w:t xml:space="preserve"> CL&amp;P to recover in rates the entire cost of the ERP Awards paid to salaried employees, but did require that </w:t>
      </w:r>
      <w:proofErr w:type="spellStart"/>
      <w:r w:rsidRPr="00226B80">
        <w:rPr>
          <w:rFonts w:ascii="Century Schoolbook" w:hAnsi="Century Schoolbook" w:cs="Arial"/>
        </w:rPr>
        <w:t>Eversource</w:t>
      </w:r>
      <w:proofErr w:type="spellEnd"/>
      <w:r w:rsidRPr="00226B80">
        <w:rPr>
          <w:rFonts w:ascii="Century Schoolbook" w:hAnsi="Century Schoolbook" w:cs="Arial"/>
        </w:rPr>
        <w:t xml:space="preserve"> work with OCC to improve the criteria for allowing ERP Award payments so that the awards will be based more on objective criteria and measures.   CL&amp;P filed a revised Policy after working with the OCC to develop that contains revised metrics the Company will utilize in the future to determine if and when non-officer, salaried employees who work substantial unpaid overtime during major storm events may be eligible to receive a one-time storm payment.  The Policy now contains objective criteria Company management will utilize in the future to determine if and when one-time storm payments will be authorized. </w:t>
      </w:r>
    </w:p>
    <w:p w14:paraId="20EB660C" w14:textId="569CB1D6" w:rsidR="00AA7093" w:rsidRPr="00774312" w:rsidRDefault="00AA7093" w:rsidP="00C53A3E">
      <w:pPr>
        <w:pStyle w:val="Default"/>
        <w:ind w:left="1440" w:hanging="630"/>
        <w:jc w:val="both"/>
        <w:rPr>
          <w:rFonts w:ascii="Century Schoolbook" w:eastAsia="Times New Roman" w:hAnsi="Century Schoolbook"/>
          <w:bCs/>
        </w:rPr>
      </w:pPr>
    </w:p>
    <w:p w14:paraId="0B179B00" w14:textId="77777777" w:rsidR="00171BAF" w:rsidRPr="008578C0" w:rsidRDefault="00171BAF" w:rsidP="00171BAF">
      <w:pPr>
        <w:pStyle w:val="Default"/>
        <w:ind w:left="1440"/>
        <w:jc w:val="both"/>
        <w:rPr>
          <w:rFonts w:ascii="Century Schoolbook" w:hAnsi="Century Schoolbook"/>
        </w:rPr>
      </w:pPr>
    </w:p>
    <w:p w14:paraId="23A205ED" w14:textId="77777777" w:rsidR="00171BAF" w:rsidRPr="00A07011" w:rsidRDefault="00171BAF" w:rsidP="00171BAF">
      <w:pPr>
        <w:pStyle w:val="Default"/>
        <w:numPr>
          <w:ilvl w:val="0"/>
          <w:numId w:val="3"/>
        </w:numPr>
        <w:jc w:val="both"/>
        <w:rPr>
          <w:rFonts w:ascii="Century Schoolbook" w:hAnsi="Century Schoolbook"/>
        </w:rPr>
      </w:pPr>
      <w:r w:rsidRPr="002E230E">
        <w:rPr>
          <w:rFonts w:ascii="Century Schoolbook" w:hAnsi="Century Schoolbook"/>
          <w:b/>
          <w:u w:val="single"/>
        </w:rPr>
        <w:t>Legislative Advocacy</w:t>
      </w:r>
      <w:r w:rsidRPr="002E230E">
        <w:rPr>
          <w:rFonts w:ascii="Century Schoolbook" w:hAnsi="Century Schoolbook"/>
        </w:rPr>
        <w:t>: The Office of Consumer Counsel actively participated in the</w:t>
      </w:r>
      <w:r w:rsidRPr="002E230E">
        <w:rPr>
          <w:rFonts w:ascii="Century Schoolbook" w:hAnsi="Century Schoolbook"/>
          <w:sz w:val="23"/>
          <w:szCs w:val="23"/>
        </w:rPr>
        <w:t xml:space="preserve"> 201</w:t>
      </w:r>
      <w:r w:rsidR="004861F8">
        <w:rPr>
          <w:rFonts w:ascii="Century Schoolbook" w:hAnsi="Century Schoolbook"/>
          <w:sz w:val="23"/>
          <w:szCs w:val="23"/>
        </w:rPr>
        <w:t>9</w:t>
      </w:r>
      <w:r w:rsidRPr="002E230E">
        <w:rPr>
          <w:rFonts w:ascii="Century Schoolbook" w:hAnsi="Century Schoolbook"/>
        </w:rPr>
        <w:t xml:space="preserve"> legislative session, testifying on numerous utility and </w:t>
      </w:r>
      <w:r w:rsidRPr="00A07011">
        <w:rPr>
          <w:rFonts w:ascii="Century Schoolbook" w:hAnsi="Century Schoolbook"/>
        </w:rPr>
        <w:t xml:space="preserve">telecommunications measures.  </w:t>
      </w:r>
    </w:p>
    <w:p w14:paraId="19CA0E0C" w14:textId="77777777" w:rsidR="00171BAF" w:rsidRPr="008342B5" w:rsidRDefault="00171BAF" w:rsidP="00171BAF">
      <w:pPr>
        <w:pStyle w:val="ListParagraph"/>
        <w:shd w:val="clear" w:color="auto" w:fill="FFFFFF"/>
        <w:spacing w:before="100" w:beforeAutospacing="1" w:after="100" w:afterAutospacing="1" w:line="240" w:lineRule="auto"/>
        <w:outlineLvl w:val="3"/>
        <w:rPr>
          <w:rFonts w:ascii="Century Schoolbook" w:eastAsia="Times New Roman" w:hAnsi="Century Schoolbook" w:cs="Arial"/>
          <w:color w:val="222222"/>
          <w:sz w:val="24"/>
          <w:szCs w:val="24"/>
        </w:rPr>
      </w:pPr>
    </w:p>
    <w:p w14:paraId="778997A1" w14:textId="77777777" w:rsidR="00C40961" w:rsidRPr="008342B5" w:rsidRDefault="00C40961" w:rsidP="00D5503B">
      <w:pPr>
        <w:pStyle w:val="ListParagraph"/>
        <w:numPr>
          <w:ilvl w:val="0"/>
          <w:numId w:val="7"/>
        </w:numPr>
        <w:shd w:val="clear" w:color="auto" w:fill="FFFFFF"/>
        <w:spacing w:after="0" w:line="240" w:lineRule="auto"/>
        <w:ind w:left="1440" w:hanging="720"/>
        <w:jc w:val="both"/>
        <w:outlineLvl w:val="3"/>
        <w:rPr>
          <w:rFonts w:ascii="Century Schoolbook" w:eastAsia="Times New Roman" w:hAnsi="Century Schoolbook" w:cs="Arial"/>
          <w:color w:val="222222"/>
          <w:sz w:val="24"/>
          <w:szCs w:val="24"/>
        </w:rPr>
      </w:pPr>
      <w:r w:rsidRPr="008342B5">
        <w:rPr>
          <w:rFonts w:ascii="Century Schoolbook" w:eastAsia="Times New Roman" w:hAnsi="Century Schoolbook" w:cs="Arial"/>
          <w:color w:val="222222"/>
          <w:sz w:val="24"/>
          <w:szCs w:val="24"/>
        </w:rPr>
        <w:t xml:space="preserve">In the telecommunications area, OCC joined with other consumer advocacy organizations to successfully </w:t>
      </w:r>
      <w:r w:rsidR="00E61371" w:rsidRPr="008342B5">
        <w:rPr>
          <w:rFonts w:ascii="Century Schoolbook" w:eastAsia="Times New Roman" w:hAnsi="Century Schoolbook" w:cs="Arial"/>
          <w:color w:val="222222"/>
          <w:sz w:val="24"/>
          <w:szCs w:val="24"/>
        </w:rPr>
        <w:t>advocate</w:t>
      </w:r>
      <w:r w:rsidR="00FE288B">
        <w:rPr>
          <w:rFonts w:ascii="Century Schoolbook" w:eastAsia="Times New Roman" w:hAnsi="Century Schoolbook" w:cs="Arial"/>
          <w:color w:val="222222"/>
          <w:sz w:val="24"/>
          <w:szCs w:val="24"/>
        </w:rPr>
        <w:t xml:space="preserve"> against the passage of S</w:t>
      </w:r>
      <w:r w:rsidRPr="008342B5">
        <w:rPr>
          <w:rFonts w:ascii="Century Schoolbook" w:eastAsia="Times New Roman" w:hAnsi="Century Schoolbook" w:cs="Arial"/>
          <w:color w:val="222222"/>
          <w:sz w:val="24"/>
          <w:szCs w:val="24"/>
        </w:rPr>
        <w:t>B-330, concerning the regulation of voice service providers, specifically proposed by the two local exchange carriers in Connecticut for virtual deregulation of their retail voice services, which would cut out OCC’s advocacy and PURA’s regulatory authority</w:t>
      </w:r>
      <w:r w:rsidR="00FE288B">
        <w:rPr>
          <w:rFonts w:ascii="Century Schoolbook" w:eastAsia="Times New Roman" w:hAnsi="Century Schoolbook" w:cs="Arial"/>
          <w:color w:val="222222"/>
          <w:sz w:val="24"/>
          <w:szCs w:val="24"/>
        </w:rPr>
        <w:t xml:space="preserve"> and would have eliminated protections for certain telephone consumers</w:t>
      </w:r>
      <w:r w:rsidRPr="008342B5">
        <w:rPr>
          <w:rFonts w:ascii="Century Schoolbook" w:eastAsia="Times New Roman" w:hAnsi="Century Schoolbook" w:cs="Arial"/>
          <w:color w:val="222222"/>
          <w:sz w:val="24"/>
          <w:szCs w:val="24"/>
        </w:rPr>
        <w:t>.</w:t>
      </w:r>
    </w:p>
    <w:p w14:paraId="748B014F" w14:textId="77777777" w:rsidR="00E61371" w:rsidRPr="008342B5" w:rsidRDefault="00E61371" w:rsidP="00D5503B">
      <w:pPr>
        <w:pStyle w:val="ListParagraph"/>
        <w:shd w:val="clear" w:color="auto" w:fill="FFFFFF"/>
        <w:spacing w:after="0" w:line="240" w:lineRule="auto"/>
        <w:ind w:left="1440" w:hanging="990"/>
        <w:jc w:val="both"/>
        <w:outlineLvl w:val="3"/>
        <w:rPr>
          <w:rFonts w:ascii="Century Schoolbook" w:eastAsia="Times New Roman" w:hAnsi="Century Schoolbook" w:cs="Arial"/>
          <w:color w:val="222222"/>
          <w:sz w:val="24"/>
          <w:szCs w:val="24"/>
        </w:rPr>
      </w:pPr>
    </w:p>
    <w:p w14:paraId="13BE1D6D" w14:textId="77777777" w:rsidR="00C40961" w:rsidRPr="008342B5" w:rsidRDefault="00C40961" w:rsidP="00D5503B">
      <w:pPr>
        <w:pStyle w:val="ListParagraph"/>
        <w:numPr>
          <w:ilvl w:val="0"/>
          <w:numId w:val="7"/>
        </w:numPr>
        <w:shd w:val="clear" w:color="auto" w:fill="FFFFFF"/>
        <w:spacing w:after="0" w:line="240" w:lineRule="auto"/>
        <w:ind w:left="1440" w:hanging="720"/>
        <w:jc w:val="both"/>
        <w:outlineLvl w:val="3"/>
        <w:rPr>
          <w:rFonts w:ascii="Century Schoolbook" w:eastAsia="Times New Roman" w:hAnsi="Century Schoolbook" w:cs="Arial"/>
          <w:color w:val="222222"/>
          <w:sz w:val="24"/>
          <w:szCs w:val="24"/>
        </w:rPr>
      </w:pPr>
      <w:r w:rsidRPr="008342B5">
        <w:rPr>
          <w:rFonts w:ascii="Century Schoolbook" w:eastAsia="Times New Roman" w:hAnsi="Century Schoolbook" w:cs="Arial"/>
          <w:color w:val="222222"/>
          <w:sz w:val="24"/>
          <w:szCs w:val="24"/>
        </w:rPr>
        <w:t xml:space="preserve">OCC joined with many state and national consumer advocacy organizations to unsuccessfully support passage of Committee Bill-2 concerning internet service providers and net neutrality principles, which got swept up in national fervor by incumbent telecom providers opposing safeguards for the consumer protection principles of net neutrality by preventing internet service providers from abusing their gatekeeper role to block or interfere with the ability of users to access the content of their choosing. </w:t>
      </w:r>
    </w:p>
    <w:p w14:paraId="7F7B9D75" w14:textId="77777777" w:rsidR="00C40961" w:rsidRPr="008342B5" w:rsidRDefault="00C40961" w:rsidP="00D5503B">
      <w:pPr>
        <w:pStyle w:val="ListParagraph"/>
        <w:shd w:val="clear" w:color="auto" w:fill="FFFFFF"/>
        <w:spacing w:after="0" w:line="240" w:lineRule="auto"/>
        <w:ind w:left="1440" w:hanging="990"/>
        <w:jc w:val="both"/>
        <w:outlineLvl w:val="3"/>
        <w:rPr>
          <w:rFonts w:ascii="Century Schoolbook" w:eastAsia="Times New Roman" w:hAnsi="Century Schoolbook" w:cs="Arial"/>
          <w:color w:val="222222"/>
          <w:sz w:val="24"/>
          <w:szCs w:val="24"/>
        </w:rPr>
      </w:pPr>
    </w:p>
    <w:p w14:paraId="4454A0EB" w14:textId="77777777" w:rsidR="00C40961" w:rsidRDefault="00C40961" w:rsidP="00D5503B">
      <w:pPr>
        <w:pStyle w:val="ListParagraph"/>
        <w:numPr>
          <w:ilvl w:val="0"/>
          <w:numId w:val="7"/>
        </w:numPr>
        <w:shd w:val="clear" w:color="auto" w:fill="FFFFFF"/>
        <w:spacing w:after="0" w:line="240" w:lineRule="auto"/>
        <w:ind w:left="1440" w:hanging="720"/>
        <w:jc w:val="both"/>
        <w:outlineLvl w:val="3"/>
        <w:rPr>
          <w:rFonts w:ascii="Century Schoolbook" w:eastAsia="Times New Roman" w:hAnsi="Century Schoolbook" w:cs="Arial"/>
          <w:color w:val="222222"/>
          <w:sz w:val="24"/>
          <w:szCs w:val="24"/>
        </w:rPr>
      </w:pPr>
      <w:r w:rsidRPr="008342B5">
        <w:rPr>
          <w:rFonts w:ascii="Century Schoolbook" w:eastAsia="Times New Roman" w:hAnsi="Century Schoolbook" w:cs="Arial"/>
          <w:color w:val="222222"/>
          <w:sz w:val="24"/>
          <w:szCs w:val="24"/>
        </w:rPr>
        <w:t>OCC also successfully removed offensive sections of RB-5591 concerning municipal revenue which would have functioned as a tax on the electric and telecommunications consumers represented by OCC, place undue burdens on low-income and middle-income customers, and further dampen economic activity in this state by rendering our utility rates even less competitive, including for business customers.</w:t>
      </w:r>
    </w:p>
    <w:p w14:paraId="7DAE2452" w14:textId="77777777" w:rsidR="007573EE" w:rsidRDefault="007573EE" w:rsidP="00D5503B">
      <w:pPr>
        <w:pStyle w:val="ListParagraph"/>
        <w:shd w:val="clear" w:color="auto" w:fill="FFFFFF"/>
        <w:spacing w:after="0" w:line="240" w:lineRule="auto"/>
        <w:ind w:left="1440" w:hanging="990"/>
        <w:jc w:val="both"/>
        <w:outlineLvl w:val="3"/>
        <w:rPr>
          <w:rFonts w:ascii="Century Schoolbook" w:eastAsia="Times New Roman" w:hAnsi="Century Schoolbook" w:cs="Arial"/>
          <w:color w:val="222222"/>
          <w:sz w:val="24"/>
          <w:szCs w:val="24"/>
        </w:rPr>
      </w:pPr>
    </w:p>
    <w:p w14:paraId="1CB44C89" w14:textId="77777777" w:rsidR="00FE288B" w:rsidRDefault="007573EE" w:rsidP="00D5503B">
      <w:pPr>
        <w:pStyle w:val="ListParagraph"/>
        <w:numPr>
          <w:ilvl w:val="0"/>
          <w:numId w:val="7"/>
        </w:numPr>
        <w:shd w:val="clear" w:color="auto" w:fill="FFFFFF"/>
        <w:spacing w:after="0" w:line="240" w:lineRule="auto"/>
        <w:ind w:left="1440" w:hanging="720"/>
        <w:jc w:val="both"/>
        <w:outlineLvl w:val="3"/>
        <w:rPr>
          <w:rFonts w:ascii="Century Schoolbook" w:eastAsia="Times New Roman" w:hAnsi="Century Schoolbook" w:cs="Arial"/>
          <w:color w:val="222222"/>
          <w:sz w:val="24"/>
          <w:szCs w:val="24"/>
        </w:rPr>
      </w:pPr>
      <w:r>
        <w:rPr>
          <w:rFonts w:ascii="Century Schoolbook" w:eastAsia="Times New Roman" w:hAnsi="Century Schoolbook" w:cs="Arial"/>
          <w:color w:val="222222"/>
          <w:sz w:val="24"/>
          <w:szCs w:val="24"/>
        </w:rPr>
        <w:lastRenderedPageBreak/>
        <w:t xml:space="preserve">Consumer Counsel Katz selected, and </w:t>
      </w:r>
      <w:r w:rsidR="00FE288B">
        <w:rPr>
          <w:rFonts w:ascii="Century Schoolbook" w:eastAsia="Times New Roman" w:hAnsi="Century Schoolbook" w:cs="Arial"/>
          <w:color w:val="222222"/>
          <w:sz w:val="24"/>
          <w:szCs w:val="24"/>
        </w:rPr>
        <w:t>OCC provided guidance to</w:t>
      </w:r>
      <w:r>
        <w:rPr>
          <w:rFonts w:ascii="Century Schoolbook" w:eastAsia="Times New Roman" w:hAnsi="Century Schoolbook" w:cs="Arial"/>
          <w:color w:val="222222"/>
          <w:sz w:val="24"/>
          <w:szCs w:val="24"/>
        </w:rPr>
        <w:t>,</w:t>
      </w:r>
      <w:r w:rsidR="00FE288B">
        <w:rPr>
          <w:rFonts w:ascii="Century Schoolbook" w:eastAsia="Times New Roman" w:hAnsi="Century Schoolbook" w:cs="Arial"/>
          <w:color w:val="222222"/>
          <w:sz w:val="24"/>
          <w:szCs w:val="24"/>
        </w:rPr>
        <w:t xml:space="preserve"> the </w:t>
      </w:r>
      <w:r>
        <w:rPr>
          <w:rFonts w:ascii="Century Schoolbook" w:eastAsia="Times New Roman" w:hAnsi="Century Schoolbook" w:cs="Arial"/>
          <w:color w:val="222222"/>
          <w:sz w:val="24"/>
          <w:szCs w:val="24"/>
        </w:rPr>
        <w:t xml:space="preserve">new </w:t>
      </w:r>
      <w:r w:rsidR="00FE288B">
        <w:rPr>
          <w:rFonts w:ascii="Century Schoolbook" w:eastAsia="Times New Roman" w:hAnsi="Century Schoolbook" w:cs="Arial"/>
          <w:color w:val="222222"/>
          <w:sz w:val="24"/>
          <w:szCs w:val="24"/>
        </w:rPr>
        <w:t xml:space="preserve">consumer advocates for the Municipal District Commission, </w:t>
      </w:r>
      <w:r>
        <w:rPr>
          <w:rFonts w:ascii="Century Schoolbook" w:eastAsia="Times New Roman" w:hAnsi="Century Schoolbook" w:cs="Arial"/>
          <w:color w:val="222222"/>
          <w:sz w:val="24"/>
          <w:szCs w:val="24"/>
        </w:rPr>
        <w:t xml:space="preserve">which is </w:t>
      </w:r>
      <w:r w:rsidR="00FE288B">
        <w:rPr>
          <w:rFonts w:ascii="Century Schoolbook" w:eastAsia="Times New Roman" w:hAnsi="Century Schoolbook" w:cs="Arial"/>
          <w:color w:val="222222"/>
          <w:sz w:val="24"/>
          <w:szCs w:val="24"/>
        </w:rPr>
        <w:t xml:space="preserve">the water utility for Hartford and the surrounding towns, and the Connecticut Municipal Electric Energy Cooperative, </w:t>
      </w:r>
      <w:r>
        <w:rPr>
          <w:rFonts w:ascii="Century Schoolbook" w:eastAsia="Times New Roman" w:hAnsi="Century Schoolbook" w:cs="Arial"/>
          <w:color w:val="222222"/>
          <w:sz w:val="24"/>
          <w:szCs w:val="24"/>
        </w:rPr>
        <w:t>whose members are municipally-owned electric companies, mostly in Eastern Connecticut.  These advocates are not part of OCC, but Consumer Counsel Katz has some oversight responsibilities.  The legislation approving these positions passed in the 2017 session.</w:t>
      </w:r>
    </w:p>
    <w:p w14:paraId="4BE8E93A" w14:textId="77777777" w:rsidR="007573EE" w:rsidRDefault="007573EE" w:rsidP="00D5503B">
      <w:pPr>
        <w:pStyle w:val="ListParagraph"/>
        <w:shd w:val="clear" w:color="auto" w:fill="FFFFFF"/>
        <w:spacing w:after="0" w:line="240" w:lineRule="auto"/>
        <w:ind w:left="1440" w:hanging="990"/>
        <w:jc w:val="both"/>
        <w:outlineLvl w:val="3"/>
        <w:rPr>
          <w:rFonts w:ascii="Century Schoolbook" w:eastAsia="Times New Roman" w:hAnsi="Century Schoolbook" w:cs="Arial"/>
          <w:color w:val="222222"/>
          <w:sz w:val="24"/>
          <w:szCs w:val="24"/>
        </w:rPr>
      </w:pPr>
    </w:p>
    <w:p w14:paraId="41483E85" w14:textId="77777777" w:rsidR="007573EE" w:rsidRPr="008342B5" w:rsidRDefault="007573EE" w:rsidP="00D5503B">
      <w:pPr>
        <w:pStyle w:val="ListParagraph"/>
        <w:numPr>
          <w:ilvl w:val="0"/>
          <w:numId w:val="7"/>
        </w:numPr>
        <w:shd w:val="clear" w:color="auto" w:fill="FFFFFF"/>
        <w:spacing w:after="0" w:line="240" w:lineRule="auto"/>
        <w:ind w:left="1440" w:hanging="720"/>
        <w:jc w:val="both"/>
        <w:outlineLvl w:val="3"/>
        <w:rPr>
          <w:rFonts w:ascii="Century Schoolbook" w:eastAsia="Times New Roman" w:hAnsi="Century Schoolbook" w:cs="Arial"/>
          <w:color w:val="222222"/>
          <w:sz w:val="24"/>
          <w:szCs w:val="24"/>
        </w:rPr>
      </w:pPr>
      <w:r>
        <w:rPr>
          <w:rFonts w:ascii="Century Schoolbook" w:eastAsia="Times New Roman" w:hAnsi="Century Schoolbook" w:cs="Arial"/>
          <w:color w:val="222222"/>
          <w:sz w:val="24"/>
          <w:szCs w:val="24"/>
        </w:rPr>
        <w:t>OCC supported House Bill 5343, which among other things would have given the right of PURA to order restitution.  PURA at present can fine utilities or third-party electric suppliers for misdeeds, but cannot order restitution to customers (although PURA may approve settlements that offer restitution as a remedy).  OCC maintained that it would be an important tool and customer protection, and also promote fairness, for PURA to have restitution authority, but the Bill did not pass the House until very late in the Session and the Senate did not have a chance to consider it.  OCC hopes that this proposal will re-emerge in the upcoming session.</w:t>
      </w:r>
    </w:p>
    <w:p w14:paraId="0B93561A" w14:textId="77777777" w:rsidR="00171BAF" w:rsidRPr="00786C0C" w:rsidRDefault="00171BAF" w:rsidP="00171BAF">
      <w:pPr>
        <w:shd w:val="clear" w:color="auto" w:fill="FFFFFF"/>
        <w:spacing w:after="0" w:line="240" w:lineRule="auto"/>
        <w:outlineLvl w:val="3"/>
        <w:rPr>
          <w:rFonts w:ascii="Century Schoolbook" w:hAnsi="Century Schoolbook"/>
          <w:color w:val="000000"/>
          <w:sz w:val="24"/>
          <w:u w:val="single"/>
        </w:rPr>
      </w:pPr>
      <w:r>
        <w:rPr>
          <w:rFonts w:ascii="Century Schoolbook" w:hAnsi="Century Schoolbook" w:cs="Times New Roman"/>
          <w:color w:val="000000"/>
          <w:sz w:val="24"/>
          <w:szCs w:val="24"/>
          <w:u w:val="single"/>
        </w:rPr>
        <w:t xml:space="preserve"> </w:t>
      </w:r>
    </w:p>
    <w:p w14:paraId="2E5AD87F" w14:textId="77777777" w:rsidR="00171BAF" w:rsidRPr="002E230E" w:rsidRDefault="00171BAF" w:rsidP="007974A6">
      <w:pPr>
        <w:pStyle w:val="Default"/>
        <w:numPr>
          <w:ilvl w:val="0"/>
          <w:numId w:val="11"/>
        </w:numPr>
        <w:ind w:left="450" w:hanging="450"/>
        <w:jc w:val="both"/>
        <w:rPr>
          <w:rFonts w:ascii="Century Schoolbook" w:hAnsi="Century Schoolbook"/>
          <w:b/>
          <w:color w:val="auto"/>
          <w:u w:val="single"/>
        </w:rPr>
      </w:pPr>
      <w:r w:rsidRPr="002E230E">
        <w:rPr>
          <w:rFonts w:ascii="Century Schoolbook" w:hAnsi="Century Schoolbook"/>
          <w:b/>
          <w:color w:val="auto"/>
          <w:u w:val="single"/>
        </w:rPr>
        <w:t>Department of Energy and Environmental Protection (DEEP), Bureau of Energy and Technology Policy (BETP) Advocacy, and Energy Procurement Activity</w:t>
      </w:r>
    </w:p>
    <w:p w14:paraId="6E304AB0" w14:textId="77777777" w:rsidR="00171BAF" w:rsidRDefault="00171BAF" w:rsidP="00171BAF">
      <w:pPr>
        <w:pStyle w:val="Default"/>
        <w:jc w:val="both"/>
        <w:rPr>
          <w:rFonts w:ascii="Century Schoolbook" w:hAnsi="Century Schoolbook"/>
          <w:color w:val="auto"/>
        </w:rPr>
      </w:pPr>
    </w:p>
    <w:p w14:paraId="4DAE37E0" w14:textId="77777777" w:rsidR="00171BAF" w:rsidRPr="007573EE" w:rsidRDefault="00171BAF" w:rsidP="00AF5919">
      <w:pPr>
        <w:pStyle w:val="Default"/>
        <w:ind w:left="810"/>
        <w:jc w:val="both"/>
        <w:rPr>
          <w:rFonts w:ascii="Century Schoolbook" w:hAnsi="Century Schoolbook"/>
          <w:b/>
          <w:color w:val="auto"/>
          <w:u w:val="single"/>
        </w:rPr>
      </w:pPr>
      <w:r>
        <w:rPr>
          <w:rFonts w:ascii="Century Schoolbook" w:hAnsi="Century Schoolbook"/>
          <w:color w:val="auto"/>
        </w:rPr>
        <w:t xml:space="preserve">OCC continued work on collaborative energy procurements with DEEP, including </w:t>
      </w:r>
      <w:r w:rsidR="007573EE">
        <w:rPr>
          <w:rFonts w:ascii="Century Schoolbook" w:hAnsi="Century Schoolbook"/>
          <w:color w:val="auto"/>
        </w:rPr>
        <w:t xml:space="preserve">large-scale and small-scale renewable energy developments as well as </w:t>
      </w:r>
      <w:r w:rsidR="007573EE">
        <w:rPr>
          <w:rFonts w:ascii="Century Schoolbook" w:hAnsi="Century Schoolbook"/>
        </w:rPr>
        <w:t xml:space="preserve">assisting </w:t>
      </w:r>
      <w:r w:rsidRPr="00786C0C">
        <w:rPr>
          <w:rFonts w:ascii="Century Schoolbook" w:hAnsi="Century Schoolbook"/>
        </w:rPr>
        <w:t xml:space="preserve">in the development and selection process pursuant to Public Act 15-113, an act establishing a Shared Clean Energy Facility Pilot Program (SCEF).  This pilot will deliver 6 MW of Shared Clean Energy to consumers in </w:t>
      </w:r>
      <w:proofErr w:type="spellStart"/>
      <w:r w:rsidRPr="00786C0C">
        <w:rPr>
          <w:rFonts w:ascii="Century Schoolbook" w:hAnsi="Century Schoolbook"/>
        </w:rPr>
        <w:t>Eversource</w:t>
      </w:r>
      <w:proofErr w:type="spellEnd"/>
      <w:r w:rsidRPr="00786C0C">
        <w:rPr>
          <w:rFonts w:ascii="Century Schoolbook" w:hAnsi="Century Schoolbook"/>
        </w:rPr>
        <w:t xml:space="preserve"> and United Illuminating territory.  The objectives of the SCEF pilot program were expanding clean energy deployment, increasing access to clean energy for low-to moderate-income customers, optimizing the re-use of sites with limited alternative uses, all while supporting in state economic development and minimizing cost to electric ratepayers.  </w:t>
      </w:r>
    </w:p>
    <w:p w14:paraId="2FA2629E" w14:textId="77777777" w:rsidR="00171BAF" w:rsidRDefault="00171BAF" w:rsidP="00171BAF">
      <w:pPr>
        <w:pStyle w:val="NoSpacing"/>
        <w:ind w:left="2160"/>
        <w:rPr>
          <w:rFonts w:ascii="Century Schoolbook" w:hAnsi="Century Schoolbook"/>
          <w:sz w:val="24"/>
        </w:rPr>
      </w:pPr>
    </w:p>
    <w:p w14:paraId="03AE23DD" w14:textId="77777777" w:rsidR="00171BAF" w:rsidRPr="00786C0C" w:rsidRDefault="00171BAF" w:rsidP="00171BAF">
      <w:pPr>
        <w:spacing w:after="0" w:line="240" w:lineRule="auto"/>
        <w:jc w:val="both"/>
        <w:rPr>
          <w:rFonts w:ascii="Century Schoolbook" w:hAnsi="Century Schoolbook"/>
          <w:b/>
          <w:sz w:val="24"/>
          <w:szCs w:val="24"/>
          <w:u w:val="single"/>
        </w:rPr>
      </w:pPr>
    </w:p>
    <w:p w14:paraId="4AA28E4E" w14:textId="77777777" w:rsidR="00171BAF" w:rsidRPr="002E230E" w:rsidRDefault="00171BAF" w:rsidP="00171BAF">
      <w:pPr>
        <w:pStyle w:val="Default"/>
        <w:jc w:val="both"/>
        <w:rPr>
          <w:rFonts w:ascii="Century Schoolbook" w:hAnsi="Century Schoolbook"/>
          <w:b/>
          <w:color w:val="auto"/>
          <w:u w:val="single"/>
        </w:rPr>
      </w:pPr>
    </w:p>
    <w:p w14:paraId="593A28F1" w14:textId="77777777" w:rsidR="00171BAF" w:rsidRPr="002E230E" w:rsidRDefault="00171BAF" w:rsidP="00171BAF">
      <w:pPr>
        <w:pStyle w:val="ListParagraph"/>
        <w:numPr>
          <w:ilvl w:val="0"/>
          <w:numId w:val="6"/>
        </w:numPr>
        <w:tabs>
          <w:tab w:val="left" w:pos="360"/>
        </w:tabs>
        <w:spacing w:after="0" w:line="240" w:lineRule="auto"/>
        <w:ind w:left="360"/>
        <w:jc w:val="both"/>
        <w:rPr>
          <w:rFonts w:ascii="Century Schoolbook" w:hAnsi="Century Schoolbook"/>
          <w:sz w:val="24"/>
          <w:szCs w:val="24"/>
        </w:rPr>
      </w:pPr>
      <w:r w:rsidRPr="002E230E">
        <w:rPr>
          <w:rFonts w:ascii="Century Schoolbook" w:hAnsi="Century Schoolbook"/>
          <w:b/>
          <w:sz w:val="24"/>
          <w:szCs w:val="24"/>
          <w:u w:val="single"/>
        </w:rPr>
        <w:t>Federal Advocacy</w:t>
      </w:r>
      <w:r w:rsidRPr="002E230E">
        <w:rPr>
          <w:rFonts w:ascii="Century Schoolbook" w:hAnsi="Century Schoolbook"/>
          <w:sz w:val="24"/>
          <w:szCs w:val="24"/>
        </w:rPr>
        <w:t>:  OCC continued to be involved in this fiscal year with numerous cases at FERC and in the federal courts.  Of note:</w:t>
      </w:r>
    </w:p>
    <w:p w14:paraId="274180E4" w14:textId="77777777" w:rsidR="00171BAF" w:rsidRPr="002E230E" w:rsidRDefault="00171BAF" w:rsidP="00171BAF">
      <w:pPr>
        <w:spacing w:after="0" w:line="240" w:lineRule="auto"/>
        <w:rPr>
          <w:rFonts w:ascii="Century Schoolbook" w:hAnsi="Century Schoolbook"/>
          <w:sz w:val="24"/>
          <w:szCs w:val="24"/>
        </w:rPr>
      </w:pPr>
    </w:p>
    <w:p w14:paraId="16FA6E6B" w14:textId="77777777" w:rsidR="00171BAF" w:rsidRPr="00E43FC6" w:rsidRDefault="00171BAF" w:rsidP="00B660F4">
      <w:pPr>
        <w:pStyle w:val="Default"/>
        <w:numPr>
          <w:ilvl w:val="0"/>
          <w:numId w:val="9"/>
        </w:numPr>
        <w:ind w:left="810"/>
        <w:jc w:val="both"/>
        <w:rPr>
          <w:rFonts w:ascii="Century Schoolbook" w:hAnsi="Century Schoolbook"/>
        </w:rPr>
      </w:pPr>
      <w:r w:rsidRPr="002E230E">
        <w:rPr>
          <w:rFonts w:ascii="Century Schoolbook" w:hAnsi="Century Schoolbook"/>
        </w:rPr>
        <w:t xml:space="preserve">OCC continued to participate in the years-long litigation (FERC Docket #s EL13-33 EL14-86, and EL16-64) involving the investment returns earned by the high-voltage transmission lines by utilities in New England.  </w:t>
      </w:r>
    </w:p>
    <w:p w14:paraId="206AAC34" w14:textId="77777777" w:rsidR="00171BAF" w:rsidRPr="002E230E" w:rsidRDefault="00171BAF" w:rsidP="00B660F4">
      <w:pPr>
        <w:pStyle w:val="Default"/>
        <w:ind w:left="810" w:hanging="360"/>
        <w:jc w:val="both"/>
        <w:rPr>
          <w:rFonts w:ascii="Century Schoolbook" w:hAnsi="Century Schoolbook"/>
        </w:rPr>
      </w:pPr>
    </w:p>
    <w:p w14:paraId="375D1C9C" w14:textId="27F2EC2C" w:rsidR="00171BAF" w:rsidRDefault="00171BAF" w:rsidP="00B660F4">
      <w:pPr>
        <w:pStyle w:val="Default"/>
        <w:numPr>
          <w:ilvl w:val="0"/>
          <w:numId w:val="9"/>
        </w:numPr>
        <w:ind w:left="810"/>
        <w:jc w:val="both"/>
        <w:rPr>
          <w:rFonts w:ascii="Century Schoolbook" w:hAnsi="Century Schoolbook"/>
        </w:rPr>
      </w:pPr>
      <w:r w:rsidRPr="002E230E">
        <w:rPr>
          <w:rFonts w:ascii="Century Schoolbook" w:hAnsi="Century Schoolbook"/>
        </w:rPr>
        <w:lastRenderedPageBreak/>
        <w:t xml:space="preserve">As to the “bigger picture,” OCC is part of a coalition of New England state agencies that is seeking at FERC (Docket No. EL16-19) to ensure that the annual rate filings by transmission owning utilities (including </w:t>
      </w:r>
      <w:proofErr w:type="spellStart"/>
      <w:r w:rsidRPr="002E230E">
        <w:rPr>
          <w:rFonts w:ascii="Century Schoolbook" w:hAnsi="Century Schoolbook"/>
        </w:rPr>
        <w:t>Eversource</w:t>
      </w:r>
      <w:proofErr w:type="spellEnd"/>
      <w:r w:rsidRPr="002E230E">
        <w:rPr>
          <w:rFonts w:ascii="Century Schoolbook" w:hAnsi="Century Schoolbook"/>
        </w:rPr>
        <w:t xml:space="preserve"> and </w:t>
      </w:r>
      <w:proofErr w:type="spellStart"/>
      <w:r w:rsidRPr="002E230E">
        <w:rPr>
          <w:rFonts w:ascii="Century Schoolbook" w:hAnsi="Century Schoolbook"/>
        </w:rPr>
        <w:t>Avangrid</w:t>
      </w:r>
      <w:proofErr w:type="spellEnd"/>
      <w:r w:rsidRPr="002E230E">
        <w:rPr>
          <w:rFonts w:ascii="Century Schoolbook" w:hAnsi="Century Schoolbook"/>
        </w:rPr>
        <w:t>/UI) will be understandable and subject to questioning in advance by government parties.  The negotiations continue</w:t>
      </w:r>
      <w:r w:rsidR="00DC08EF">
        <w:rPr>
          <w:rFonts w:ascii="Century Schoolbook" w:hAnsi="Century Schoolbook"/>
        </w:rPr>
        <w:t>d during this year</w:t>
      </w:r>
      <w:r w:rsidRPr="002E230E">
        <w:rPr>
          <w:rFonts w:ascii="Century Schoolbook" w:hAnsi="Century Schoolbook"/>
        </w:rPr>
        <w:t xml:space="preserve"> before a FERC Settlement Judge</w:t>
      </w:r>
      <w:r w:rsidR="00DC08EF">
        <w:rPr>
          <w:rFonts w:ascii="Century Schoolbook" w:hAnsi="Century Schoolbook"/>
        </w:rPr>
        <w:t xml:space="preserve">, and a settlement signed by OCC and many other parties </w:t>
      </w:r>
      <w:r w:rsidR="0017585A">
        <w:rPr>
          <w:rFonts w:ascii="Century Schoolbook" w:hAnsi="Century Schoolbook"/>
        </w:rPr>
        <w:t xml:space="preserve">was </w:t>
      </w:r>
      <w:r w:rsidR="00DC08EF">
        <w:rPr>
          <w:rFonts w:ascii="Century Schoolbook" w:hAnsi="Century Schoolbook"/>
        </w:rPr>
        <w:t>forwarded to FERC for consideration</w:t>
      </w:r>
      <w:r w:rsidRPr="002E230E">
        <w:rPr>
          <w:rFonts w:ascii="Century Schoolbook" w:hAnsi="Century Schoolbook"/>
        </w:rPr>
        <w:t xml:space="preserve">.  </w:t>
      </w:r>
      <w:r w:rsidR="0017585A">
        <w:rPr>
          <w:rFonts w:ascii="Century Schoolbook" w:hAnsi="Century Schoolbook"/>
        </w:rPr>
        <w:t xml:space="preserve">However, FERC rejected the settlement and the case has now been re-opened.  </w:t>
      </w:r>
    </w:p>
    <w:p w14:paraId="0A1F5EB9" w14:textId="77777777" w:rsidR="007573EE" w:rsidRDefault="007573EE" w:rsidP="00B660F4">
      <w:pPr>
        <w:pStyle w:val="Default"/>
        <w:ind w:left="810" w:hanging="360"/>
        <w:jc w:val="both"/>
        <w:rPr>
          <w:rFonts w:ascii="Century Schoolbook" w:hAnsi="Century Schoolbook"/>
        </w:rPr>
      </w:pPr>
    </w:p>
    <w:p w14:paraId="70818EB5" w14:textId="77777777" w:rsidR="007573EE" w:rsidRPr="002E230E" w:rsidRDefault="007573EE" w:rsidP="00B660F4">
      <w:pPr>
        <w:pStyle w:val="Default"/>
        <w:numPr>
          <w:ilvl w:val="0"/>
          <w:numId w:val="9"/>
        </w:numPr>
        <w:ind w:left="810"/>
        <w:jc w:val="both"/>
        <w:rPr>
          <w:rFonts w:ascii="Century Schoolbook" w:hAnsi="Century Schoolbook"/>
        </w:rPr>
      </w:pPr>
      <w:r>
        <w:rPr>
          <w:rFonts w:ascii="Century Schoolbook" w:hAnsi="Century Schoolbook"/>
        </w:rPr>
        <w:t>OCC is involved with its State of Connecticut agency allies in FERC Docket No. ER18-1639, which is considering whether the Mystic Power Plant in Massachusetts, which claims to be under-earning, should receive a cost-of-service arrangement to retain it and its nearby liquefied natural gas service in operation, and if so, how the compensation should be set.  This proceeding has a genesis in the region’s concerns about the sufficiency of electric and natural gas capacity in the wintertime, given that laws and court rulings in Massachusetts in particular have blocked proposals to build new and expanded interstate natural gas pipelines.  Many important wholesale market and infrastructure adequacy issues are implicated in this proceeding.</w:t>
      </w:r>
    </w:p>
    <w:p w14:paraId="354CBC1A" w14:textId="77777777" w:rsidR="00171BAF" w:rsidRPr="002E230E" w:rsidRDefault="00171BAF" w:rsidP="00B660F4">
      <w:pPr>
        <w:pStyle w:val="Default"/>
        <w:ind w:left="810" w:hanging="360"/>
        <w:jc w:val="both"/>
        <w:rPr>
          <w:rFonts w:ascii="Century Schoolbook" w:hAnsi="Century Schoolbook"/>
          <w:b/>
          <w:color w:val="auto"/>
          <w:u w:val="single"/>
        </w:rPr>
      </w:pPr>
    </w:p>
    <w:p w14:paraId="5BD8FF25" w14:textId="77777777" w:rsidR="00171BAF" w:rsidRPr="002E230E" w:rsidRDefault="00171BAF" w:rsidP="00171BAF">
      <w:pPr>
        <w:pStyle w:val="Default"/>
        <w:jc w:val="both"/>
        <w:rPr>
          <w:rFonts w:ascii="Century Schoolbook" w:hAnsi="Century Schoolbook"/>
          <w:b/>
          <w:u w:val="single"/>
        </w:rPr>
      </w:pPr>
    </w:p>
    <w:p w14:paraId="2EC11625" w14:textId="77777777" w:rsidR="00171BAF" w:rsidRPr="00E52D17" w:rsidRDefault="00171BAF" w:rsidP="00171BAF">
      <w:pPr>
        <w:pStyle w:val="ListParagraph"/>
        <w:numPr>
          <w:ilvl w:val="0"/>
          <w:numId w:val="1"/>
        </w:numPr>
        <w:spacing w:after="0" w:line="240" w:lineRule="auto"/>
        <w:jc w:val="both"/>
        <w:rPr>
          <w:rFonts w:ascii="Century Schoolbook" w:hAnsi="Century Schoolbook"/>
        </w:rPr>
      </w:pPr>
      <w:r w:rsidRPr="002E230E">
        <w:rPr>
          <w:rFonts w:ascii="Century Schoolbook" w:hAnsi="Century Schoolbook"/>
          <w:b/>
          <w:sz w:val="24"/>
          <w:szCs w:val="24"/>
          <w:u w:val="single"/>
        </w:rPr>
        <w:t>Advocacy</w:t>
      </w:r>
      <w:r w:rsidRPr="003C0032">
        <w:rPr>
          <w:rFonts w:ascii="Century Schoolbook" w:hAnsi="Century Schoolbook"/>
          <w:b/>
          <w:sz w:val="24"/>
          <w:szCs w:val="24"/>
          <w:u w:val="single"/>
        </w:rPr>
        <w:t xml:space="preserve"> in Court Cases</w:t>
      </w:r>
      <w:r w:rsidRPr="003C0032">
        <w:rPr>
          <w:rFonts w:ascii="Century Schoolbook" w:hAnsi="Century Schoolbook"/>
          <w:sz w:val="24"/>
          <w:szCs w:val="24"/>
        </w:rPr>
        <w:t>: In Fiscal Year 201</w:t>
      </w:r>
      <w:r w:rsidR="004861F8">
        <w:rPr>
          <w:rFonts w:ascii="Century Schoolbook" w:hAnsi="Century Schoolbook"/>
          <w:sz w:val="24"/>
          <w:szCs w:val="24"/>
        </w:rPr>
        <w:t>8</w:t>
      </w:r>
      <w:r w:rsidRPr="003C0032">
        <w:rPr>
          <w:rFonts w:ascii="Century Schoolbook" w:hAnsi="Century Schoolbook"/>
          <w:sz w:val="24"/>
          <w:szCs w:val="24"/>
        </w:rPr>
        <w:t>-201</w:t>
      </w:r>
      <w:r w:rsidR="004861F8">
        <w:rPr>
          <w:rFonts w:ascii="Century Schoolbook" w:hAnsi="Century Schoolbook"/>
          <w:sz w:val="24"/>
          <w:szCs w:val="24"/>
        </w:rPr>
        <w:t>9</w:t>
      </w:r>
      <w:r w:rsidRPr="003C0032">
        <w:rPr>
          <w:rFonts w:ascii="Century Schoolbook" w:hAnsi="Century Schoolbook"/>
          <w:sz w:val="24"/>
          <w:szCs w:val="24"/>
        </w:rPr>
        <w:t xml:space="preserve">, </w:t>
      </w:r>
      <w:r w:rsidRPr="003C0032">
        <w:rPr>
          <w:rFonts w:ascii="Century Schoolbook" w:hAnsi="Century Schoolbook" w:cs="Times New Roman"/>
          <w:sz w:val="24"/>
          <w:szCs w:val="24"/>
        </w:rPr>
        <w:t xml:space="preserve">OCC was a party in </w:t>
      </w:r>
      <w:r w:rsidRPr="00786C0C">
        <w:rPr>
          <w:rFonts w:ascii="Century Schoolbook" w:hAnsi="Century Schoolbook"/>
          <w:sz w:val="24"/>
        </w:rPr>
        <w:t>4</w:t>
      </w:r>
      <w:r w:rsidRPr="003C0032">
        <w:rPr>
          <w:rFonts w:ascii="Century Schoolbook" w:hAnsi="Century Schoolbook" w:cs="Times New Roman"/>
          <w:sz w:val="24"/>
          <w:szCs w:val="24"/>
        </w:rPr>
        <w:t xml:space="preserve"> Administrative Appeals to the Superior Court and </w:t>
      </w:r>
      <w:r w:rsidRPr="00786C0C">
        <w:rPr>
          <w:rFonts w:ascii="Century Schoolbook" w:hAnsi="Century Schoolbook"/>
          <w:sz w:val="24"/>
        </w:rPr>
        <w:t>1</w:t>
      </w:r>
      <w:r w:rsidRPr="003C0032">
        <w:rPr>
          <w:rFonts w:ascii="Century Schoolbook" w:hAnsi="Century Schoolbook" w:cs="Times New Roman"/>
          <w:sz w:val="24"/>
          <w:szCs w:val="24"/>
        </w:rPr>
        <w:t xml:space="preserve"> appeal to the Connecticut Appellate Court. </w:t>
      </w:r>
    </w:p>
    <w:p w14:paraId="407B4BE7" w14:textId="77777777" w:rsidR="00171BAF" w:rsidRPr="00E52D17" w:rsidRDefault="00171BAF" w:rsidP="00171BAF">
      <w:pPr>
        <w:pStyle w:val="ListParagraph"/>
        <w:spacing w:after="0" w:line="240" w:lineRule="auto"/>
        <w:ind w:left="360"/>
        <w:jc w:val="both"/>
        <w:rPr>
          <w:rFonts w:ascii="Century Schoolbook" w:hAnsi="Century Schoolbook"/>
        </w:rPr>
      </w:pPr>
    </w:p>
    <w:p w14:paraId="551BBB2D" w14:textId="77777777" w:rsidR="00171BAF" w:rsidRDefault="003B272A" w:rsidP="00204C9F">
      <w:pPr>
        <w:pStyle w:val="ListParagraph"/>
        <w:numPr>
          <w:ilvl w:val="1"/>
          <w:numId w:val="7"/>
        </w:numPr>
        <w:tabs>
          <w:tab w:val="left" w:pos="810"/>
          <w:tab w:val="left" w:pos="1530"/>
        </w:tabs>
        <w:spacing w:after="0" w:line="240" w:lineRule="auto"/>
        <w:ind w:left="900" w:hanging="450"/>
        <w:jc w:val="both"/>
        <w:rPr>
          <w:rFonts w:ascii="Century Schoolbook" w:eastAsia="Calibri" w:hAnsi="Century Schoolbook" w:cs="Times New Roman"/>
          <w:sz w:val="24"/>
        </w:rPr>
      </w:pPr>
      <w:r>
        <w:rPr>
          <w:rFonts w:ascii="Century Schoolbook" w:hAnsi="Century Schoolbook" w:cs="Times New Roman"/>
          <w:sz w:val="24"/>
          <w:szCs w:val="24"/>
        </w:rPr>
        <w:t xml:space="preserve"> </w:t>
      </w:r>
      <w:r w:rsidR="00171BAF" w:rsidRPr="003C0032">
        <w:rPr>
          <w:rFonts w:ascii="Century Schoolbook" w:hAnsi="Century Schoolbook" w:cs="Times New Roman"/>
          <w:sz w:val="24"/>
          <w:szCs w:val="24"/>
        </w:rPr>
        <w:t xml:space="preserve">Included in these cases was the OCC’s involvement in </w:t>
      </w:r>
      <w:r w:rsidR="00171BAF" w:rsidRPr="003C0032">
        <w:rPr>
          <w:rFonts w:ascii="Century Schoolbook" w:hAnsi="Century Schoolbook" w:cs="Times New Roman"/>
          <w:i/>
          <w:sz w:val="24"/>
          <w:szCs w:val="24"/>
          <w:u w:val="single"/>
        </w:rPr>
        <w:t>Liberty Power Holdings, LLC v. Public Utilities Regulatory Authority</w:t>
      </w:r>
      <w:r w:rsidR="00171BAF" w:rsidRPr="003C0032">
        <w:rPr>
          <w:rFonts w:ascii="Century Schoolbook" w:hAnsi="Century Schoolbook" w:cs="Times New Roman"/>
          <w:sz w:val="24"/>
          <w:szCs w:val="24"/>
        </w:rPr>
        <w:t xml:space="preserve"> (“</w:t>
      </w:r>
      <w:r w:rsidR="00171BAF" w:rsidRPr="003C0032">
        <w:rPr>
          <w:rFonts w:ascii="Century Schoolbook" w:hAnsi="Century Schoolbook" w:cs="Times New Roman"/>
          <w:i/>
          <w:sz w:val="24"/>
          <w:szCs w:val="24"/>
        </w:rPr>
        <w:t>Liberty</w:t>
      </w:r>
      <w:r w:rsidR="00171BAF" w:rsidRPr="003C0032">
        <w:rPr>
          <w:rFonts w:ascii="Century Schoolbook" w:hAnsi="Century Schoolbook" w:cs="Times New Roman"/>
          <w:sz w:val="24"/>
          <w:szCs w:val="24"/>
        </w:rPr>
        <w:t xml:space="preserve">”), </w:t>
      </w:r>
      <w:proofErr w:type="gramStart"/>
      <w:r w:rsidR="00171BAF" w:rsidRPr="003C0032">
        <w:rPr>
          <w:rFonts w:ascii="Century Schoolbook" w:hAnsi="Century Schoolbook" w:cs="Times New Roman"/>
          <w:sz w:val="24"/>
          <w:szCs w:val="24"/>
        </w:rPr>
        <w:t>a</w:t>
      </w:r>
      <w:proofErr w:type="gramEnd"/>
      <w:r w:rsidR="00171BAF" w:rsidRPr="003C0032">
        <w:rPr>
          <w:rFonts w:ascii="Century Schoolbook" w:hAnsi="Century Schoolbook" w:cs="Times New Roman"/>
          <w:sz w:val="24"/>
          <w:szCs w:val="24"/>
        </w:rPr>
        <w:t xml:space="preserve"> Superior Court appeal in which OCC represents electric ratepayer interests as an intervening defendant.  In the </w:t>
      </w:r>
      <w:r w:rsidR="00171BAF" w:rsidRPr="003C0032">
        <w:rPr>
          <w:rFonts w:ascii="Century Schoolbook" w:hAnsi="Century Schoolbook" w:cs="Times New Roman"/>
          <w:i/>
          <w:sz w:val="24"/>
          <w:szCs w:val="24"/>
        </w:rPr>
        <w:t>Liberty</w:t>
      </w:r>
      <w:r w:rsidR="00171BAF" w:rsidRPr="003C0032">
        <w:rPr>
          <w:rFonts w:ascii="Century Schoolbook" w:hAnsi="Century Schoolbook" w:cs="Times New Roman"/>
          <w:sz w:val="24"/>
          <w:szCs w:val="24"/>
        </w:rPr>
        <w:t xml:space="preserve"> appeal, OCC argued before the Superior Court that PURA correctly concluded in its Final Decision that the electric supplier Liberty Power Holdings, LLC </w:t>
      </w:r>
      <w:r w:rsidR="00171BAF" w:rsidRPr="003C0032">
        <w:rPr>
          <w:rFonts w:ascii="Century Schoolbook" w:eastAsia="Times New Roman" w:hAnsi="Century Schoolbook" w:cs="Times New Roman"/>
          <w:kern w:val="28"/>
          <w:sz w:val="24"/>
          <w:szCs w:val="24"/>
        </w:rPr>
        <w:t xml:space="preserve">violated General Statutes § 16-259a when it </w:t>
      </w:r>
      <w:r w:rsidR="00171BAF" w:rsidRPr="003C0032">
        <w:rPr>
          <w:rFonts w:ascii="Century Schoolbook" w:hAnsi="Century Schoolbook" w:cs="Times New Roman"/>
          <w:sz w:val="24"/>
          <w:szCs w:val="24"/>
        </w:rPr>
        <w:t>submitted back-billi</w:t>
      </w:r>
      <w:r w:rsidR="00171BAF">
        <w:rPr>
          <w:rFonts w:ascii="Century Schoolbook" w:hAnsi="Century Schoolbook" w:cs="Times New Roman"/>
          <w:sz w:val="24"/>
          <w:szCs w:val="24"/>
        </w:rPr>
        <w:t xml:space="preserve">ng rates to </w:t>
      </w:r>
      <w:proofErr w:type="spellStart"/>
      <w:r w:rsidR="00171BAF">
        <w:rPr>
          <w:rFonts w:ascii="Century Schoolbook" w:hAnsi="Century Schoolbook" w:cs="Times New Roman"/>
          <w:sz w:val="24"/>
          <w:szCs w:val="24"/>
        </w:rPr>
        <w:t>Eversource</w:t>
      </w:r>
      <w:proofErr w:type="spellEnd"/>
      <w:r w:rsidR="00171BAF">
        <w:rPr>
          <w:rFonts w:ascii="Century Schoolbook" w:hAnsi="Century Schoolbook" w:cs="Times New Roman"/>
          <w:sz w:val="24"/>
          <w:szCs w:val="24"/>
        </w:rPr>
        <w:t xml:space="preserve"> Energy (</w:t>
      </w:r>
      <w:proofErr w:type="spellStart"/>
      <w:r w:rsidR="00171BAF">
        <w:rPr>
          <w:rFonts w:ascii="Century Schoolbook" w:hAnsi="Century Schoolbook" w:cs="Times New Roman"/>
          <w:sz w:val="24"/>
          <w:szCs w:val="24"/>
        </w:rPr>
        <w:t>Eversource</w:t>
      </w:r>
      <w:proofErr w:type="spellEnd"/>
      <w:r w:rsidR="00171BAF" w:rsidRPr="003C0032">
        <w:rPr>
          <w:rFonts w:ascii="Century Schoolbook" w:hAnsi="Century Schoolbook" w:cs="Times New Roman"/>
          <w:sz w:val="24"/>
          <w:szCs w:val="24"/>
        </w:rPr>
        <w:t xml:space="preserve">) without a payment plan for 294 commercial accounts, with 121 bills actually being generated and issued.  OCC also argued that </w:t>
      </w:r>
      <w:r w:rsidR="00171BAF" w:rsidRPr="003C0032">
        <w:rPr>
          <w:rFonts w:ascii="Century Schoolbook" w:eastAsia="Calibri" w:hAnsi="Century Schoolbook"/>
          <w:sz w:val="24"/>
        </w:rPr>
        <w:t xml:space="preserve">PURA, in the exercise of its </w:t>
      </w:r>
      <w:r w:rsidR="00171BAF" w:rsidRPr="002448FB">
        <w:rPr>
          <w:rFonts w:ascii="Century Schoolbook" w:eastAsia="Calibri" w:hAnsi="Century Schoolbook"/>
          <w:sz w:val="24"/>
        </w:rPr>
        <w:t xml:space="preserve">broad discretion, appropriately assessed Liberty a civil penalty of </w:t>
      </w:r>
      <w:r w:rsidR="00171BAF" w:rsidRPr="002448FB">
        <w:rPr>
          <w:rFonts w:ascii="Century Schoolbook" w:eastAsia="Calibri" w:hAnsi="Century Schoolbook" w:cs="Times New Roman"/>
          <w:sz w:val="24"/>
        </w:rPr>
        <w:t xml:space="preserve">$60,500 for its violations of General Statutes § 16-259a. </w:t>
      </w:r>
    </w:p>
    <w:p w14:paraId="23E89A85" w14:textId="77777777" w:rsidR="00171BAF" w:rsidRDefault="00171BAF" w:rsidP="00B660F4">
      <w:pPr>
        <w:pStyle w:val="ListParagraph"/>
        <w:tabs>
          <w:tab w:val="left" w:pos="810"/>
          <w:tab w:val="left" w:pos="1530"/>
        </w:tabs>
        <w:spacing w:after="0" w:line="240" w:lineRule="auto"/>
        <w:ind w:left="900" w:hanging="1260"/>
        <w:jc w:val="both"/>
        <w:rPr>
          <w:rFonts w:ascii="Century Schoolbook" w:eastAsia="Calibri" w:hAnsi="Century Schoolbook" w:cs="Times New Roman"/>
          <w:sz w:val="24"/>
        </w:rPr>
      </w:pPr>
    </w:p>
    <w:p w14:paraId="2D7CACBF" w14:textId="1A81914A" w:rsidR="00171BAF" w:rsidRPr="002448FB" w:rsidRDefault="003B272A" w:rsidP="00204C9F">
      <w:pPr>
        <w:pStyle w:val="ListParagraph"/>
        <w:numPr>
          <w:ilvl w:val="1"/>
          <w:numId w:val="7"/>
        </w:numPr>
        <w:tabs>
          <w:tab w:val="left" w:pos="810"/>
          <w:tab w:val="left" w:pos="1530"/>
        </w:tabs>
        <w:spacing w:after="0" w:line="240" w:lineRule="auto"/>
        <w:ind w:left="900" w:hanging="450"/>
        <w:jc w:val="both"/>
        <w:rPr>
          <w:rFonts w:ascii="Century Schoolbook" w:hAnsi="Century Schoolbook"/>
        </w:rPr>
      </w:pPr>
      <w:r>
        <w:rPr>
          <w:rFonts w:ascii="Century Schoolbook" w:eastAsia="Calibri" w:hAnsi="Century Schoolbook" w:cs="Times New Roman"/>
          <w:sz w:val="24"/>
        </w:rPr>
        <w:t xml:space="preserve"> </w:t>
      </w:r>
      <w:r w:rsidR="00171BAF" w:rsidRPr="00E52D17">
        <w:rPr>
          <w:rFonts w:ascii="Century Schoolbook" w:eastAsia="Calibri" w:hAnsi="Century Schoolbook" w:cs="Times New Roman"/>
          <w:sz w:val="24"/>
        </w:rPr>
        <w:t xml:space="preserve">Also included in these cases is </w:t>
      </w:r>
      <w:r w:rsidR="00171BAF" w:rsidRPr="00E52D17">
        <w:rPr>
          <w:rFonts w:ascii="Century Schoolbook" w:eastAsia="Calibri" w:hAnsi="Century Schoolbook" w:cs="Times New Roman"/>
          <w:i/>
          <w:sz w:val="24"/>
          <w:u w:val="single"/>
        </w:rPr>
        <w:t>PMC Property Group, Inc. v. Public Utilities Regulatory Authority</w:t>
      </w:r>
      <w:r w:rsidR="00171BAF" w:rsidRPr="00E52D17">
        <w:rPr>
          <w:rFonts w:ascii="Century Schoolbook" w:eastAsia="Calibri" w:hAnsi="Century Schoolbook" w:cs="Times New Roman"/>
          <w:i/>
          <w:sz w:val="24"/>
        </w:rPr>
        <w:t xml:space="preserve">, </w:t>
      </w:r>
      <w:r w:rsidR="00171BAF" w:rsidRPr="00E52D17">
        <w:rPr>
          <w:rFonts w:ascii="Century Schoolbook" w:eastAsia="Calibri" w:hAnsi="Century Schoolbook" w:cs="Times New Roman"/>
          <w:sz w:val="24"/>
        </w:rPr>
        <w:t xml:space="preserve">in which OCC supported PURA’s ruling that a scheme for tenant billing for the electric usage of the heating and air conditioning system in an apartment building owned by PMC in New Haven constituted electric </w:t>
      </w:r>
      <w:proofErr w:type="spellStart"/>
      <w:r w:rsidR="00171BAF" w:rsidRPr="00E52D17">
        <w:rPr>
          <w:rFonts w:ascii="Century Schoolbook" w:eastAsia="Calibri" w:hAnsi="Century Schoolbook" w:cs="Times New Roman"/>
          <w:sz w:val="24"/>
        </w:rPr>
        <w:t>submetering</w:t>
      </w:r>
      <w:proofErr w:type="spellEnd"/>
      <w:r w:rsidR="00171BAF" w:rsidRPr="00E52D17">
        <w:rPr>
          <w:rFonts w:ascii="Century Schoolbook" w:eastAsia="Calibri" w:hAnsi="Century Schoolbook" w:cs="Times New Roman"/>
          <w:sz w:val="24"/>
        </w:rPr>
        <w:t xml:space="preserve">.  The Superior Court upheld this PURA ruling, and rejected the appeal by PMC, based on PURA’s and OCC’s </w:t>
      </w:r>
      <w:r w:rsidR="00171BAF" w:rsidRPr="00E52D17">
        <w:rPr>
          <w:rFonts w:ascii="Century Schoolbook" w:eastAsia="Calibri" w:hAnsi="Century Schoolbook" w:cs="Times New Roman"/>
          <w:sz w:val="24"/>
        </w:rPr>
        <w:lastRenderedPageBreak/>
        <w:t xml:space="preserve">advocacy.  PMC </w:t>
      </w:r>
      <w:r w:rsidR="00BC49ED">
        <w:rPr>
          <w:rFonts w:ascii="Century Schoolbook" w:eastAsia="Calibri" w:hAnsi="Century Schoolbook" w:cs="Times New Roman"/>
          <w:sz w:val="24"/>
        </w:rPr>
        <w:t xml:space="preserve">then </w:t>
      </w:r>
      <w:r w:rsidR="00171BAF" w:rsidRPr="00E52D17">
        <w:rPr>
          <w:rFonts w:ascii="Century Schoolbook" w:eastAsia="Calibri" w:hAnsi="Century Schoolbook" w:cs="Times New Roman"/>
          <w:sz w:val="24"/>
        </w:rPr>
        <w:t>appealed that Superior Court ruling to the Appellate Court</w:t>
      </w:r>
      <w:r w:rsidR="00BC49ED">
        <w:rPr>
          <w:rFonts w:ascii="Century Schoolbook" w:eastAsia="Calibri" w:hAnsi="Century Schoolbook" w:cs="Times New Roman"/>
          <w:sz w:val="24"/>
        </w:rPr>
        <w:t>.  The Appellate Court’s ruling went in favor of OCC and PURA, and customers are being provided refunds of ove</w:t>
      </w:r>
      <w:r w:rsidR="0017585A">
        <w:rPr>
          <w:rFonts w:ascii="Century Schoolbook" w:eastAsia="Calibri" w:hAnsi="Century Schoolbook" w:cs="Times New Roman"/>
          <w:sz w:val="24"/>
        </w:rPr>
        <w:t>r $13</w:t>
      </w:r>
      <w:r w:rsidR="00BC49ED">
        <w:rPr>
          <w:rFonts w:ascii="Century Schoolbook" w:eastAsia="Calibri" w:hAnsi="Century Schoolbook" w:cs="Times New Roman"/>
          <w:sz w:val="24"/>
        </w:rPr>
        <w:t>0,000.</w:t>
      </w:r>
    </w:p>
    <w:p w14:paraId="22FBD95B" w14:textId="77777777" w:rsidR="00171BAF" w:rsidRPr="002448FB" w:rsidRDefault="00171BAF" w:rsidP="00204C9F">
      <w:pPr>
        <w:pStyle w:val="ListParagraph"/>
        <w:tabs>
          <w:tab w:val="left" w:pos="1530"/>
        </w:tabs>
        <w:spacing w:after="0" w:line="240" w:lineRule="auto"/>
        <w:ind w:left="900" w:hanging="450"/>
        <w:jc w:val="both"/>
        <w:rPr>
          <w:rFonts w:ascii="Century Schoolbook" w:hAnsi="Century Schoolbook"/>
        </w:rPr>
      </w:pPr>
    </w:p>
    <w:p w14:paraId="32CE33DA" w14:textId="77777777" w:rsidR="00171BAF" w:rsidRDefault="00171BAF" w:rsidP="00171BAF">
      <w:pPr>
        <w:pStyle w:val="Default"/>
        <w:jc w:val="both"/>
        <w:rPr>
          <w:rFonts w:ascii="Century Schoolbook" w:hAnsi="Century Schoolbook"/>
          <w:b/>
          <w:sz w:val="23"/>
          <w:szCs w:val="23"/>
          <w:u w:val="single"/>
        </w:rPr>
      </w:pPr>
    </w:p>
    <w:p w14:paraId="2BA80A16" w14:textId="77777777" w:rsidR="00171BAF" w:rsidRPr="002448FB" w:rsidRDefault="00171BAF" w:rsidP="00171BAF">
      <w:pPr>
        <w:pStyle w:val="Default"/>
        <w:jc w:val="both"/>
        <w:rPr>
          <w:rFonts w:ascii="Century Schoolbook" w:hAnsi="Century Schoolbook"/>
          <w:b/>
          <w:sz w:val="23"/>
          <w:szCs w:val="23"/>
          <w:u w:val="single"/>
        </w:rPr>
      </w:pPr>
    </w:p>
    <w:p w14:paraId="6897CA4D" w14:textId="77777777" w:rsidR="00171BAF" w:rsidRPr="00E52D17" w:rsidRDefault="00171BAF" w:rsidP="00171BAF">
      <w:pPr>
        <w:pStyle w:val="Default"/>
        <w:numPr>
          <w:ilvl w:val="0"/>
          <w:numId w:val="10"/>
        </w:numPr>
        <w:ind w:left="360"/>
        <w:jc w:val="both"/>
        <w:rPr>
          <w:rFonts w:ascii="Century Schoolbook" w:hAnsi="Century Schoolbook"/>
          <w:b/>
          <w:sz w:val="23"/>
          <w:szCs w:val="23"/>
          <w:u w:val="single"/>
        </w:rPr>
      </w:pPr>
      <w:r w:rsidRPr="002448FB">
        <w:rPr>
          <w:rFonts w:ascii="Century Schoolbook" w:hAnsi="Century Schoolbook"/>
          <w:b/>
          <w:sz w:val="23"/>
          <w:szCs w:val="23"/>
          <w:u w:val="single"/>
        </w:rPr>
        <w:t>State, National and Regional Advocacy in Key Organizations, Committees, and Boards</w:t>
      </w:r>
      <w:r w:rsidRPr="002448FB">
        <w:rPr>
          <w:rFonts w:ascii="Century Schoolbook" w:hAnsi="Century Schoolbook"/>
          <w:sz w:val="23"/>
          <w:szCs w:val="23"/>
        </w:rPr>
        <w:t xml:space="preserve"> </w:t>
      </w:r>
    </w:p>
    <w:p w14:paraId="2238E3C9" w14:textId="77777777" w:rsidR="00171BAF" w:rsidRDefault="00171BAF" w:rsidP="00171BAF">
      <w:pPr>
        <w:pStyle w:val="Default"/>
        <w:jc w:val="both"/>
        <w:rPr>
          <w:rFonts w:ascii="Century Schoolbook" w:hAnsi="Century Schoolbook"/>
          <w:sz w:val="23"/>
          <w:szCs w:val="23"/>
        </w:rPr>
      </w:pPr>
    </w:p>
    <w:p w14:paraId="7B875A80" w14:textId="77777777" w:rsidR="00171BAF" w:rsidRPr="002448FB" w:rsidRDefault="00171BAF" w:rsidP="00B660F4">
      <w:pPr>
        <w:pStyle w:val="Default"/>
        <w:ind w:left="900"/>
        <w:jc w:val="both"/>
        <w:rPr>
          <w:rFonts w:ascii="Century Schoolbook" w:hAnsi="Century Schoolbook"/>
          <w:b/>
          <w:sz w:val="23"/>
          <w:szCs w:val="23"/>
          <w:u w:val="single"/>
        </w:rPr>
      </w:pPr>
      <w:r>
        <w:rPr>
          <w:rFonts w:ascii="Century Schoolbook" w:hAnsi="Century Schoolbook"/>
          <w:sz w:val="23"/>
          <w:szCs w:val="23"/>
        </w:rPr>
        <w:t xml:space="preserve">The </w:t>
      </w:r>
      <w:r w:rsidR="00635278">
        <w:rPr>
          <w:rFonts w:ascii="Century Schoolbook" w:hAnsi="Century Schoolbook"/>
          <w:sz w:val="23"/>
          <w:szCs w:val="23"/>
        </w:rPr>
        <w:t xml:space="preserve">former </w:t>
      </w:r>
      <w:r>
        <w:rPr>
          <w:rFonts w:ascii="Century Schoolbook" w:hAnsi="Century Schoolbook"/>
          <w:sz w:val="23"/>
          <w:szCs w:val="23"/>
        </w:rPr>
        <w:t>Consumer Counsel</w:t>
      </w:r>
      <w:r w:rsidR="00635278">
        <w:rPr>
          <w:rFonts w:ascii="Century Schoolbook" w:hAnsi="Century Schoolbook"/>
          <w:sz w:val="23"/>
          <w:szCs w:val="23"/>
        </w:rPr>
        <w:t xml:space="preserve"> Elin Katz</w:t>
      </w:r>
      <w:r>
        <w:rPr>
          <w:rFonts w:ascii="Century Schoolbook" w:hAnsi="Century Schoolbook"/>
          <w:sz w:val="23"/>
          <w:szCs w:val="23"/>
        </w:rPr>
        <w:t xml:space="preserve"> and OCC staff serve on numerous state, regional, and federal boards and organizations.  They also continue to be in great demand as speakers and participants at national conferences and meetings, regional panels, Connecticut organizations, and other forums.  OCC’s participation was extensive, but highlights include:</w:t>
      </w:r>
    </w:p>
    <w:p w14:paraId="12A7E174" w14:textId="77777777" w:rsidR="00171BAF" w:rsidRPr="002448FB" w:rsidRDefault="00171BAF" w:rsidP="00171BAF">
      <w:pPr>
        <w:pStyle w:val="Default"/>
        <w:ind w:left="720"/>
        <w:jc w:val="both"/>
        <w:rPr>
          <w:rFonts w:ascii="Century Schoolbook" w:hAnsi="Century Schoolbook"/>
          <w:b/>
          <w:sz w:val="23"/>
          <w:szCs w:val="23"/>
          <w:u w:val="single"/>
        </w:rPr>
      </w:pPr>
    </w:p>
    <w:p w14:paraId="4D80E9D8" w14:textId="77777777" w:rsidR="00171BAF" w:rsidRPr="002B48DC" w:rsidRDefault="00171BAF" w:rsidP="00171BAF">
      <w:pPr>
        <w:autoSpaceDE w:val="0"/>
        <w:autoSpaceDN w:val="0"/>
        <w:adjustRightInd w:val="0"/>
        <w:spacing w:after="0" w:line="240" w:lineRule="auto"/>
        <w:jc w:val="both"/>
        <w:rPr>
          <w:rFonts w:ascii="Century Schoolbook" w:hAnsi="Century Schoolbook" w:cs="Times New Roman"/>
          <w:sz w:val="24"/>
          <w:szCs w:val="24"/>
          <w:u w:val="single"/>
        </w:rPr>
      </w:pPr>
    </w:p>
    <w:p w14:paraId="6597E0FA" w14:textId="4F50D0EA" w:rsidR="00C40961" w:rsidRPr="00F95843" w:rsidRDefault="00635278" w:rsidP="00B660F4">
      <w:pPr>
        <w:pStyle w:val="ListParagraph"/>
        <w:numPr>
          <w:ilvl w:val="0"/>
          <w:numId w:val="18"/>
        </w:numPr>
        <w:autoSpaceDE w:val="0"/>
        <w:autoSpaceDN w:val="0"/>
        <w:adjustRightInd w:val="0"/>
        <w:spacing w:after="0" w:line="240" w:lineRule="auto"/>
        <w:ind w:left="810" w:hanging="450"/>
        <w:jc w:val="both"/>
        <w:rPr>
          <w:rFonts w:ascii="Century Schoolbook" w:hAnsi="Century Schoolbook" w:cs="Times New Roman"/>
          <w:sz w:val="24"/>
          <w:szCs w:val="24"/>
        </w:rPr>
      </w:pPr>
      <w:r>
        <w:rPr>
          <w:rFonts w:ascii="Century Schoolbook" w:hAnsi="Century Schoolbook" w:cs="Times New Roman"/>
          <w:sz w:val="24"/>
          <w:szCs w:val="24"/>
        </w:rPr>
        <w:t xml:space="preserve">Former </w:t>
      </w:r>
      <w:r w:rsidR="00E61371" w:rsidRPr="005D7329">
        <w:rPr>
          <w:rFonts w:ascii="Century Schoolbook" w:hAnsi="Century Schoolbook" w:cs="Times New Roman"/>
          <w:sz w:val="24"/>
          <w:szCs w:val="24"/>
        </w:rPr>
        <w:t xml:space="preserve">Consumer Counsel Katz </w:t>
      </w:r>
      <w:r>
        <w:rPr>
          <w:rFonts w:ascii="Century Schoolbook" w:hAnsi="Century Schoolbook" w:cs="Times New Roman"/>
          <w:sz w:val="24"/>
          <w:szCs w:val="24"/>
        </w:rPr>
        <w:t>was</w:t>
      </w:r>
      <w:r w:rsidR="00E61371" w:rsidRPr="005D7329">
        <w:rPr>
          <w:rFonts w:ascii="Century Schoolbook" w:hAnsi="Century Schoolbook" w:cs="Times New Roman"/>
          <w:sz w:val="24"/>
          <w:szCs w:val="24"/>
        </w:rPr>
        <w:t xml:space="preserve"> a statutory member of the Connecticut Energy Efficiency Board and the Commission for Education Technology, and the Water Planning Council Steering Committee, and served on the Water Planning Council Steering Committee, among other state boards.</w:t>
      </w:r>
    </w:p>
    <w:p w14:paraId="0E9ECB0A" w14:textId="77777777" w:rsidR="00171BAF" w:rsidRDefault="00171BAF" w:rsidP="00B660F4">
      <w:pPr>
        <w:autoSpaceDE w:val="0"/>
        <w:autoSpaceDN w:val="0"/>
        <w:adjustRightInd w:val="0"/>
        <w:spacing w:after="0" w:line="240" w:lineRule="auto"/>
        <w:ind w:left="810" w:firstLine="540"/>
        <w:jc w:val="both"/>
        <w:rPr>
          <w:rFonts w:ascii="Century Schoolbook" w:hAnsi="Century Schoolbook" w:cs="Times New Roman"/>
          <w:sz w:val="24"/>
          <w:szCs w:val="24"/>
        </w:rPr>
      </w:pPr>
    </w:p>
    <w:p w14:paraId="7CDFE78A" w14:textId="7BDBE432" w:rsidR="00F95843" w:rsidRPr="00F95843" w:rsidRDefault="00635278" w:rsidP="00B660F4">
      <w:pPr>
        <w:numPr>
          <w:ilvl w:val="0"/>
          <w:numId w:val="18"/>
        </w:numPr>
        <w:autoSpaceDE w:val="0"/>
        <w:autoSpaceDN w:val="0"/>
        <w:adjustRightInd w:val="0"/>
        <w:spacing w:after="0" w:line="240" w:lineRule="auto"/>
        <w:ind w:left="810" w:hanging="450"/>
        <w:jc w:val="both"/>
        <w:rPr>
          <w:rFonts w:ascii="Century Schoolbook" w:hAnsi="Century Schoolbook" w:cs="Times New Roman"/>
          <w:sz w:val="24"/>
          <w:szCs w:val="24"/>
        </w:rPr>
      </w:pPr>
      <w:r>
        <w:rPr>
          <w:rFonts w:ascii="Century Schoolbook" w:hAnsi="Century Schoolbook" w:cs="Times New Roman"/>
          <w:sz w:val="24"/>
          <w:szCs w:val="24"/>
        </w:rPr>
        <w:t xml:space="preserve">Former </w:t>
      </w:r>
      <w:r w:rsidR="00171BAF">
        <w:rPr>
          <w:rFonts w:ascii="Century Schoolbook" w:hAnsi="Century Schoolbook" w:cs="Times New Roman"/>
          <w:sz w:val="24"/>
          <w:szCs w:val="24"/>
        </w:rPr>
        <w:t>Consumer Counsel</w:t>
      </w:r>
      <w:r w:rsidR="00171BAF" w:rsidRPr="0088695D">
        <w:rPr>
          <w:rFonts w:ascii="Century Schoolbook" w:hAnsi="Century Schoolbook" w:cs="Times New Roman"/>
          <w:sz w:val="24"/>
          <w:szCs w:val="24"/>
        </w:rPr>
        <w:t xml:space="preserve"> Katz </w:t>
      </w:r>
      <w:r>
        <w:rPr>
          <w:rFonts w:ascii="Century Schoolbook" w:hAnsi="Century Schoolbook" w:cs="Times New Roman"/>
          <w:sz w:val="24"/>
          <w:szCs w:val="24"/>
        </w:rPr>
        <w:t>was</w:t>
      </w:r>
      <w:r w:rsidR="00171BAF" w:rsidRPr="0088695D">
        <w:rPr>
          <w:rFonts w:ascii="Century Schoolbook" w:hAnsi="Century Schoolbook" w:cs="Times New Roman"/>
          <w:sz w:val="24"/>
          <w:szCs w:val="24"/>
        </w:rPr>
        <w:t xml:space="preserve"> </w:t>
      </w:r>
      <w:r w:rsidR="001C7257">
        <w:rPr>
          <w:rFonts w:ascii="Century Schoolbook" w:hAnsi="Century Schoolbook" w:cs="Times New Roman"/>
          <w:sz w:val="24"/>
          <w:szCs w:val="24"/>
        </w:rPr>
        <w:t>President</w:t>
      </w:r>
      <w:r w:rsidR="00171BAF" w:rsidRPr="0088695D">
        <w:rPr>
          <w:rFonts w:ascii="Century Schoolbook" w:hAnsi="Century Schoolbook" w:cs="Times New Roman"/>
          <w:sz w:val="24"/>
          <w:szCs w:val="24"/>
        </w:rPr>
        <w:t xml:space="preserve"> of the National Association of State Utility Consumer Advocates (“NASUCA”)</w:t>
      </w:r>
      <w:r w:rsidR="00F95843">
        <w:rPr>
          <w:rFonts w:ascii="Century Schoolbook" w:hAnsi="Century Schoolbook" w:cs="Times New Roman"/>
          <w:sz w:val="24"/>
          <w:szCs w:val="24"/>
        </w:rPr>
        <w:t>,</w:t>
      </w:r>
      <w:r w:rsidR="00F95843" w:rsidRPr="00CE60F8">
        <w:rPr>
          <w:rFonts w:ascii="Century Schoolbook" w:hAnsi="Century Schoolbook" w:cs="Times New Roman"/>
          <w:sz w:val="24"/>
          <w:szCs w:val="24"/>
        </w:rPr>
        <w:t xml:space="preserve"> an</w:t>
      </w:r>
      <w:r w:rsidR="00CE60F8" w:rsidRPr="00CE60F8">
        <w:rPr>
          <w:rFonts w:ascii="Century Schoolbook" w:hAnsi="Century Schoolbook" w:cs="Times New Roman"/>
          <w:sz w:val="24"/>
          <w:szCs w:val="24"/>
        </w:rPr>
        <w:t xml:space="preserve"> association of 55 consumer advocates in 43 states and the District of Columbia Barbados, Puerto Rico, and Jamaica</w:t>
      </w:r>
      <w:r w:rsidR="00171BAF" w:rsidRPr="0088695D">
        <w:rPr>
          <w:rFonts w:ascii="Century Schoolbook" w:hAnsi="Century Schoolbook" w:cs="Times New Roman"/>
          <w:sz w:val="24"/>
          <w:szCs w:val="24"/>
        </w:rPr>
        <w:t xml:space="preserve">.  She </w:t>
      </w:r>
      <w:r>
        <w:rPr>
          <w:rFonts w:ascii="Century Schoolbook" w:hAnsi="Century Schoolbook" w:cs="Times New Roman"/>
          <w:sz w:val="24"/>
          <w:szCs w:val="24"/>
        </w:rPr>
        <w:t>was</w:t>
      </w:r>
      <w:r w:rsidR="00171BAF" w:rsidRPr="0088695D">
        <w:rPr>
          <w:rFonts w:ascii="Century Schoolbook" w:hAnsi="Century Schoolbook" w:cs="Times New Roman"/>
          <w:sz w:val="24"/>
          <w:szCs w:val="24"/>
        </w:rPr>
        <w:t xml:space="preserve"> also NASUCA’s representative on the Federal Communication Commission’s Federal-State Joint Board on Universal Service.  </w:t>
      </w:r>
      <w:r>
        <w:rPr>
          <w:rFonts w:ascii="Century Schoolbook" w:hAnsi="Century Schoolbook" w:cs="Times New Roman"/>
          <w:sz w:val="24"/>
          <w:szCs w:val="24"/>
        </w:rPr>
        <w:t xml:space="preserve">Former </w:t>
      </w:r>
      <w:r w:rsidR="00171BAF">
        <w:rPr>
          <w:rFonts w:ascii="Century Schoolbook" w:hAnsi="Century Schoolbook" w:cs="Times New Roman"/>
          <w:sz w:val="24"/>
          <w:szCs w:val="24"/>
        </w:rPr>
        <w:t>Consumer Counsel</w:t>
      </w:r>
      <w:r w:rsidR="00171BAF" w:rsidRPr="0088695D">
        <w:rPr>
          <w:rFonts w:ascii="Century Schoolbook" w:hAnsi="Century Schoolbook" w:cs="Times New Roman"/>
          <w:sz w:val="24"/>
          <w:szCs w:val="24"/>
        </w:rPr>
        <w:t xml:space="preserve"> Katz also serve</w:t>
      </w:r>
      <w:r>
        <w:rPr>
          <w:rFonts w:ascii="Century Schoolbook" w:hAnsi="Century Schoolbook" w:cs="Times New Roman"/>
          <w:sz w:val="24"/>
          <w:szCs w:val="24"/>
        </w:rPr>
        <w:t>d</w:t>
      </w:r>
      <w:r w:rsidR="00171BAF" w:rsidRPr="0088695D">
        <w:rPr>
          <w:rFonts w:ascii="Century Schoolbook" w:hAnsi="Century Schoolbook" w:cs="Times New Roman"/>
          <w:sz w:val="24"/>
          <w:szCs w:val="24"/>
        </w:rPr>
        <w:t xml:space="preserve"> as Connecticut Governor </w:t>
      </w:r>
      <w:proofErr w:type="spellStart"/>
      <w:r w:rsidR="00171BAF" w:rsidRPr="0088695D">
        <w:rPr>
          <w:rFonts w:ascii="Century Schoolbook" w:hAnsi="Century Schoolbook" w:cs="Times New Roman"/>
          <w:sz w:val="24"/>
          <w:szCs w:val="24"/>
        </w:rPr>
        <w:t>Dannel</w:t>
      </w:r>
      <w:proofErr w:type="spellEnd"/>
      <w:r w:rsidR="00171BAF" w:rsidRPr="0088695D">
        <w:rPr>
          <w:rFonts w:ascii="Century Schoolbook" w:hAnsi="Century Schoolbook" w:cs="Times New Roman"/>
          <w:sz w:val="24"/>
          <w:szCs w:val="24"/>
        </w:rPr>
        <w:t xml:space="preserve"> P. Malloy’s designee on the FCC’s Intergovernmental Advisory Commission.  She </w:t>
      </w:r>
      <w:r>
        <w:rPr>
          <w:rFonts w:ascii="Century Schoolbook" w:hAnsi="Century Schoolbook" w:cs="Times New Roman"/>
          <w:sz w:val="24"/>
          <w:szCs w:val="24"/>
        </w:rPr>
        <w:t>was</w:t>
      </w:r>
      <w:r w:rsidR="00171BAF" w:rsidRPr="0088695D">
        <w:rPr>
          <w:rFonts w:ascii="Century Schoolbook" w:hAnsi="Century Schoolbook" w:cs="Times New Roman"/>
          <w:sz w:val="24"/>
          <w:szCs w:val="24"/>
        </w:rPr>
        <w:t xml:space="preserve"> on the Advisory Committee for the Critical Consumer Issues Forum, a joint initiative of NARUC, NASUCA, and the Edison Electric Institute</w:t>
      </w:r>
      <w:r w:rsidR="00CE60F8">
        <w:rPr>
          <w:rFonts w:ascii="Century Schoolbook" w:hAnsi="Century Schoolbook" w:cs="Times New Roman"/>
          <w:sz w:val="24"/>
          <w:szCs w:val="24"/>
        </w:rPr>
        <w:t>,</w:t>
      </w:r>
      <w:r w:rsidR="001C7257">
        <w:rPr>
          <w:rFonts w:ascii="Century Schoolbook" w:hAnsi="Century Schoolbook" w:cs="Times New Roman"/>
          <w:sz w:val="24"/>
          <w:szCs w:val="24"/>
        </w:rPr>
        <w:t xml:space="preserve"> and the </w:t>
      </w:r>
      <w:r w:rsidR="00F23839">
        <w:rPr>
          <w:rFonts w:ascii="Century Schoolbook" w:hAnsi="Century Schoolbook" w:cs="Times New Roman"/>
          <w:sz w:val="24"/>
          <w:szCs w:val="24"/>
        </w:rPr>
        <w:t>Advisory Board of the Financial Research Institute</w:t>
      </w:r>
      <w:r w:rsidR="00F23839" w:rsidRPr="00F23839">
        <w:t xml:space="preserve"> </w:t>
      </w:r>
      <w:r w:rsidR="00F23839" w:rsidRPr="00F23839">
        <w:rPr>
          <w:rFonts w:ascii="Century Schoolbook" w:hAnsi="Century Schoolbook" w:cs="Times New Roman"/>
          <w:sz w:val="24"/>
          <w:szCs w:val="24"/>
        </w:rPr>
        <w:t xml:space="preserve">within the Robert J. </w:t>
      </w:r>
      <w:proofErr w:type="spellStart"/>
      <w:r w:rsidR="00F23839" w:rsidRPr="00F23839">
        <w:rPr>
          <w:rFonts w:ascii="Century Schoolbook" w:hAnsi="Century Schoolbook" w:cs="Times New Roman"/>
          <w:sz w:val="24"/>
          <w:szCs w:val="24"/>
        </w:rPr>
        <w:t>Trulaske</w:t>
      </w:r>
      <w:proofErr w:type="spellEnd"/>
      <w:r w:rsidR="00F23839" w:rsidRPr="00F23839">
        <w:rPr>
          <w:rFonts w:ascii="Century Schoolbook" w:hAnsi="Century Schoolbook" w:cs="Times New Roman"/>
          <w:sz w:val="24"/>
          <w:szCs w:val="24"/>
        </w:rPr>
        <w:t>, Sr. College of Busines</w:t>
      </w:r>
      <w:r w:rsidR="00F23839">
        <w:rPr>
          <w:rFonts w:ascii="Century Schoolbook" w:hAnsi="Century Schoolbook" w:cs="Times New Roman"/>
          <w:sz w:val="24"/>
          <w:szCs w:val="24"/>
        </w:rPr>
        <w:t xml:space="preserve">s at the University of Missouri, which </w:t>
      </w:r>
      <w:r w:rsidR="00F23839" w:rsidRPr="00F23839">
        <w:rPr>
          <w:rFonts w:ascii="Century Schoolbook" w:hAnsi="Century Schoolbook" w:cs="Times New Roman"/>
          <w:sz w:val="24"/>
          <w:szCs w:val="24"/>
        </w:rPr>
        <w:t>provides a neutral environment for stakeholders in the regulated public utility industry to come together to examine, understand, and debate current issues relating to public utility policy.</w:t>
      </w:r>
    </w:p>
    <w:p w14:paraId="34C2A014" w14:textId="77777777" w:rsidR="00F95843" w:rsidRPr="00F95843" w:rsidRDefault="00F95843" w:rsidP="000F727B">
      <w:pPr>
        <w:autoSpaceDE w:val="0"/>
        <w:autoSpaceDN w:val="0"/>
        <w:adjustRightInd w:val="0"/>
        <w:spacing w:after="0" w:line="240" w:lineRule="auto"/>
        <w:ind w:left="810" w:hanging="720"/>
        <w:jc w:val="both"/>
        <w:rPr>
          <w:rFonts w:ascii="Century Schoolbook" w:hAnsi="Century Schoolbook" w:cs="Times New Roman"/>
          <w:sz w:val="24"/>
          <w:szCs w:val="24"/>
        </w:rPr>
      </w:pPr>
    </w:p>
    <w:p w14:paraId="2983FE5A" w14:textId="519CCEC6" w:rsidR="00CE60F8" w:rsidRDefault="00635278" w:rsidP="006F69EE">
      <w:pPr>
        <w:autoSpaceDE w:val="0"/>
        <w:autoSpaceDN w:val="0"/>
        <w:adjustRightInd w:val="0"/>
        <w:spacing w:after="0" w:line="240" w:lineRule="auto"/>
        <w:ind w:left="360"/>
        <w:jc w:val="both"/>
        <w:rPr>
          <w:rFonts w:ascii="Century Schoolbook" w:hAnsi="Century Schoolbook" w:cs="Times New Roman"/>
          <w:sz w:val="24"/>
          <w:szCs w:val="24"/>
        </w:rPr>
      </w:pPr>
      <w:r>
        <w:rPr>
          <w:rFonts w:ascii="Century Schoolbook" w:hAnsi="Century Schoolbook" w:cs="Times New Roman"/>
          <w:sz w:val="24"/>
          <w:szCs w:val="24"/>
        </w:rPr>
        <w:t xml:space="preserve">Former </w:t>
      </w:r>
      <w:r w:rsidR="00CE60F8">
        <w:rPr>
          <w:rFonts w:ascii="Century Schoolbook" w:hAnsi="Century Schoolbook" w:cs="Times New Roman"/>
          <w:sz w:val="24"/>
          <w:szCs w:val="24"/>
        </w:rPr>
        <w:t xml:space="preserve">Consumer Counsel Katz </w:t>
      </w:r>
      <w:r w:rsidR="00CC16C3">
        <w:rPr>
          <w:rFonts w:ascii="Century Schoolbook" w:hAnsi="Century Schoolbook" w:cs="Times New Roman"/>
          <w:sz w:val="24"/>
          <w:szCs w:val="24"/>
        </w:rPr>
        <w:t>was</w:t>
      </w:r>
      <w:r w:rsidR="00CE60F8">
        <w:rPr>
          <w:rFonts w:ascii="Century Schoolbook" w:hAnsi="Century Schoolbook" w:cs="Times New Roman"/>
          <w:sz w:val="24"/>
          <w:szCs w:val="24"/>
        </w:rPr>
        <w:t xml:space="preserve"> a p</w:t>
      </w:r>
      <w:r w:rsidR="00C53A3E">
        <w:rPr>
          <w:rFonts w:ascii="Century Schoolbook" w:hAnsi="Century Schoolbook" w:cs="Times New Roman"/>
          <w:sz w:val="24"/>
          <w:szCs w:val="24"/>
        </w:rPr>
        <w:t xml:space="preserve">opular and frequently-requested </w:t>
      </w:r>
      <w:r w:rsidR="000F727B">
        <w:rPr>
          <w:rFonts w:ascii="Century Schoolbook" w:hAnsi="Century Schoolbook" w:cs="Times New Roman"/>
          <w:sz w:val="24"/>
          <w:szCs w:val="24"/>
        </w:rPr>
        <w:t xml:space="preserve">speaker </w:t>
      </w:r>
      <w:r w:rsidR="00CE60F8">
        <w:rPr>
          <w:rFonts w:ascii="Century Schoolbook" w:hAnsi="Century Schoolbook" w:cs="Times New Roman"/>
          <w:sz w:val="24"/>
          <w:szCs w:val="24"/>
        </w:rPr>
        <w:t>on utility</w:t>
      </w:r>
      <w:r w:rsidR="00F95843">
        <w:rPr>
          <w:rFonts w:ascii="Century Schoolbook" w:hAnsi="Century Schoolbook" w:cs="Times New Roman"/>
          <w:sz w:val="24"/>
          <w:szCs w:val="24"/>
        </w:rPr>
        <w:t>, advocacy,</w:t>
      </w:r>
      <w:r w:rsidR="00E43FC6">
        <w:rPr>
          <w:rFonts w:ascii="Century Schoolbook" w:hAnsi="Century Schoolbook" w:cs="Times New Roman"/>
          <w:sz w:val="24"/>
          <w:szCs w:val="24"/>
        </w:rPr>
        <w:t xml:space="preserve"> </w:t>
      </w:r>
      <w:r w:rsidR="00F95843">
        <w:rPr>
          <w:rFonts w:ascii="Century Schoolbook" w:hAnsi="Century Schoolbook" w:cs="Times New Roman"/>
          <w:sz w:val="24"/>
          <w:szCs w:val="24"/>
        </w:rPr>
        <w:t>governance, and women’s</w:t>
      </w:r>
      <w:r w:rsidR="00CE60F8">
        <w:rPr>
          <w:rFonts w:ascii="Century Schoolbook" w:hAnsi="Century Schoolbook" w:cs="Times New Roman"/>
          <w:sz w:val="24"/>
          <w:szCs w:val="24"/>
        </w:rPr>
        <w:t xml:space="preserve"> issues.  Her speaking engagement</w:t>
      </w:r>
      <w:r w:rsidR="00650970">
        <w:rPr>
          <w:rFonts w:ascii="Century Schoolbook" w:hAnsi="Century Schoolbook" w:cs="Times New Roman"/>
          <w:sz w:val="24"/>
          <w:szCs w:val="24"/>
        </w:rPr>
        <w:t>s</w:t>
      </w:r>
      <w:r w:rsidR="00CE60F8">
        <w:rPr>
          <w:rFonts w:ascii="Century Schoolbook" w:hAnsi="Century Schoolbook" w:cs="Times New Roman"/>
          <w:sz w:val="24"/>
          <w:szCs w:val="24"/>
        </w:rPr>
        <w:t xml:space="preserve"> during the 201</w:t>
      </w:r>
      <w:r w:rsidR="00CC16C3">
        <w:rPr>
          <w:rFonts w:ascii="Century Schoolbook" w:hAnsi="Century Schoolbook" w:cs="Times New Roman"/>
          <w:sz w:val="24"/>
          <w:szCs w:val="24"/>
        </w:rPr>
        <w:t>9</w:t>
      </w:r>
      <w:r w:rsidR="00CE60F8">
        <w:rPr>
          <w:rFonts w:ascii="Century Schoolbook" w:hAnsi="Century Schoolbook" w:cs="Times New Roman"/>
          <w:sz w:val="24"/>
          <w:szCs w:val="24"/>
        </w:rPr>
        <w:t>-101</w:t>
      </w:r>
      <w:r w:rsidR="00CC16C3">
        <w:rPr>
          <w:rFonts w:ascii="Century Schoolbook" w:hAnsi="Century Schoolbook" w:cs="Times New Roman"/>
          <w:sz w:val="24"/>
          <w:szCs w:val="24"/>
        </w:rPr>
        <w:t>9</w:t>
      </w:r>
      <w:r w:rsidR="00CE60F8">
        <w:rPr>
          <w:rFonts w:ascii="Century Schoolbook" w:hAnsi="Century Schoolbook" w:cs="Times New Roman"/>
          <w:sz w:val="24"/>
          <w:szCs w:val="24"/>
        </w:rPr>
        <w:t xml:space="preserve"> fiscal year include:</w:t>
      </w:r>
    </w:p>
    <w:p w14:paraId="12604FCC" w14:textId="77777777" w:rsidR="00457F52" w:rsidRDefault="00457F52" w:rsidP="00B660F4">
      <w:pPr>
        <w:autoSpaceDE w:val="0"/>
        <w:autoSpaceDN w:val="0"/>
        <w:adjustRightInd w:val="0"/>
        <w:spacing w:after="0" w:line="240" w:lineRule="auto"/>
        <w:ind w:left="810" w:firstLine="540"/>
        <w:jc w:val="both"/>
        <w:rPr>
          <w:rFonts w:ascii="Century Schoolbook" w:hAnsi="Century Schoolbook" w:cs="Times New Roman"/>
          <w:i/>
          <w:sz w:val="24"/>
          <w:szCs w:val="24"/>
        </w:rPr>
      </w:pPr>
    </w:p>
    <w:p w14:paraId="3C7D1F52" w14:textId="72BBB2BA" w:rsidR="00E43FC6" w:rsidRPr="00C53A3E" w:rsidRDefault="00CC16C3" w:rsidP="000F727B">
      <w:pPr>
        <w:pStyle w:val="ListParagraph"/>
        <w:numPr>
          <w:ilvl w:val="1"/>
          <w:numId w:val="20"/>
        </w:numPr>
        <w:autoSpaceDE w:val="0"/>
        <w:autoSpaceDN w:val="0"/>
        <w:adjustRightInd w:val="0"/>
        <w:spacing w:after="0" w:line="240" w:lineRule="auto"/>
        <w:ind w:left="810" w:hanging="450"/>
        <w:jc w:val="both"/>
        <w:rPr>
          <w:rFonts w:ascii="Century Schoolbook" w:hAnsi="Century Schoolbook" w:cs="Times New Roman"/>
          <w:sz w:val="24"/>
          <w:szCs w:val="24"/>
        </w:rPr>
      </w:pPr>
      <w:r w:rsidRPr="00C53A3E">
        <w:rPr>
          <w:rFonts w:ascii="Century Schoolbook" w:hAnsi="Century Schoolbook" w:cs="Times New Roman"/>
          <w:i/>
          <w:sz w:val="24"/>
          <w:szCs w:val="24"/>
        </w:rPr>
        <w:t>Innovations in Public Utility Business Models &amp; Financing for the 21st Century</w:t>
      </w:r>
      <w:r w:rsidRPr="00C53A3E">
        <w:rPr>
          <w:rFonts w:ascii="Century Schoolbook" w:hAnsi="Century Schoolbook" w:cs="Times New Roman"/>
          <w:sz w:val="24"/>
          <w:szCs w:val="24"/>
        </w:rPr>
        <w:t xml:space="preserve">, Financial Research Institute </w:t>
      </w:r>
      <w:r w:rsidR="00C04A21" w:rsidRPr="00C53A3E">
        <w:rPr>
          <w:rFonts w:ascii="Century Schoolbook" w:hAnsi="Century Schoolbook" w:cs="Times New Roman"/>
          <w:sz w:val="24"/>
          <w:szCs w:val="24"/>
        </w:rPr>
        <w:t>Symposium, Columbia, Missouri, September 25, 2018;</w:t>
      </w:r>
      <w:r w:rsidR="00C04A21" w:rsidRPr="00C53A3E">
        <w:rPr>
          <w:rFonts w:ascii="Century Schoolbook" w:hAnsi="Century Schoolbook" w:cs="Times New Roman"/>
          <w:i/>
          <w:sz w:val="24"/>
          <w:szCs w:val="24"/>
        </w:rPr>
        <w:t xml:space="preserve"> </w:t>
      </w:r>
    </w:p>
    <w:p w14:paraId="1F3FA302" w14:textId="675D5087" w:rsidR="00204C9F" w:rsidRPr="00C53A3E" w:rsidRDefault="00204C9F" w:rsidP="00C53A3E">
      <w:pPr>
        <w:autoSpaceDE w:val="0"/>
        <w:autoSpaceDN w:val="0"/>
        <w:adjustRightInd w:val="0"/>
        <w:spacing w:after="0" w:line="240" w:lineRule="auto"/>
        <w:ind w:left="1080"/>
        <w:jc w:val="both"/>
        <w:rPr>
          <w:rFonts w:ascii="Century Schoolbook" w:hAnsi="Century Schoolbook" w:cs="Times New Roman"/>
          <w:sz w:val="24"/>
          <w:szCs w:val="24"/>
        </w:rPr>
      </w:pPr>
    </w:p>
    <w:p w14:paraId="7C019581" w14:textId="4953A9A8" w:rsidR="00204C9F" w:rsidRPr="00C53A3E" w:rsidRDefault="00C04A21" w:rsidP="000F727B">
      <w:pPr>
        <w:pStyle w:val="ListParagraph"/>
        <w:numPr>
          <w:ilvl w:val="1"/>
          <w:numId w:val="20"/>
        </w:numPr>
        <w:autoSpaceDE w:val="0"/>
        <w:autoSpaceDN w:val="0"/>
        <w:adjustRightInd w:val="0"/>
        <w:spacing w:after="0" w:line="240" w:lineRule="auto"/>
        <w:ind w:left="810" w:hanging="540"/>
        <w:jc w:val="both"/>
        <w:rPr>
          <w:rFonts w:ascii="Century Schoolbook" w:hAnsi="Century Schoolbook" w:cs="Times New Roman"/>
          <w:sz w:val="24"/>
          <w:szCs w:val="24"/>
        </w:rPr>
      </w:pPr>
      <w:r w:rsidRPr="00C53A3E">
        <w:rPr>
          <w:rFonts w:ascii="Century Schoolbook" w:hAnsi="Century Schoolbook" w:cs="Times New Roman"/>
          <w:sz w:val="24"/>
          <w:szCs w:val="24"/>
        </w:rPr>
        <w:lastRenderedPageBreak/>
        <w:t>Regional</w:t>
      </w:r>
      <w:r w:rsidRPr="00C53A3E">
        <w:rPr>
          <w:rFonts w:ascii="Century Schoolbook" w:hAnsi="Century Schoolbook" w:cs="Times New Roman"/>
          <w:i/>
          <w:sz w:val="24"/>
          <w:szCs w:val="24"/>
        </w:rPr>
        <w:t xml:space="preserve"> Grid Modernization Developments &amp; the Future of Retail </w:t>
      </w:r>
    </w:p>
    <w:p w14:paraId="2EC9B274" w14:textId="6838632F" w:rsidR="00472908" w:rsidRDefault="00204C9F" w:rsidP="000F727B">
      <w:pPr>
        <w:autoSpaceDE w:val="0"/>
        <w:autoSpaceDN w:val="0"/>
        <w:adjustRightInd w:val="0"/>
        <w:spacing w:after="0" w:line="240" w:lineRule="auto"/>
        <w:ind w:left="810" w:hanging="540"/>
        <w:jc w:val="both"/>
        <w:rPr>
          <w:rFonts w:ascii="Century Schoolbook" w:hAnsi="Century Schoolbook" w:cs="Times New Roman"/>
          <w:i/>
          <w:sz w:val="24"/>
          <w:szCs w:val="24"/>
        </w:rPr>
      </w:pPr>
      <w:r>
        <w:rPr>
          <w:rFonts w:ascii="Century Schoolbook" w:hAnsi="Century Schoolbook" w:cs="Times New Roman"/>
          <w:i/>
          <w:sz w:val="24"/>
          <w:szCs w:val="24"/>
        </w:rPr>
        <w:tab/>
      </w:r>
      <w:r w:rsidR="00C04A21" w:rsidRPr="00C53A3E">
        <w:rPr>
          <w:rFonts w:ascii="Century Schoolbook" w:hAnsi="Century Schoolbook" w:cs="Times New Roman"/>
          <w:i/>
          <w:sz w:val="24"/>
          <w:szCs w:val="24"/>
        </w:rPr>
        <w:t xml:space="preserve">Choice, </w:t>
      </w:r>
      <w:r w:rsidR="00C04A21" w:rsidRPr="00C53A3E">
        <w:rPr>
          <w:rFonts w:ascii="Century Schoolbook" w:hAnsi="Century Schoolbook" w:cs="Times New Roman"/>
          <w:sz w:val="24"/>
          <w:szCs w:val="24"/>
        </w:rPr>
        <w:t>Foley Hoag LLP, Boston, MA, October 12, 2018</w:t>
      </w:r>
      <w:r w:rsidR="00C04A21" w:rsidRPr="00C53A3E">
        <w:rPr>
          <w:rFonts w:ascii="Century Schoolbook" w:hAnsi="Century Schoolbook" w:cs="Times New Roman"/>
          <w:i/>
          <w:sz w:val="24"/>
          <w:szCs w:val="24"/>
        </w:rPr>
        <w:t>;</w:t>
      </w:r>
    </w:p>
    <w:p w14:paraId="5C040397" w14:textId="77777777" w:rsidR="00204C9F" w:rsidRPr="00C53A3E" w:rsidRDefault="00204C9F" w:rsidP="00C53A3E">
      <w:pPr>
        <w:tabs>
          <w:tab w:val="left" w:pos="1440"/>
        </w:tabs>
        <w:autoSpaceDE w:val="0"/>
        <w:autoSpaceDN w:val="0"/>
        <w:adjustRightInd w:val="0"/>
        <w:spacing w:after="0" w:line="240" w:lineRule="auto"/>
        <w:jc w:val="both"/>
        <w:rPr>
          <w:rFonts w:ascii="Century Schoolbook" w:hAnsi="Century Schoolbook" w:cs="Times New Roman"/>
          <w:sz w:val="24"/>
          <w:szCs w:val="24"/>
        </w:rPr>
      </w:pPr>
    </w:p>
    <w:p w14:paraId="0ACFD6B3" w14:textId="21C2179E" w:rsidR="00C04A21" w:rsidRPr="00C53A3E" w:rsidRDefault="00C04A21" w:rsidP="003F7DBA">
      <w:pPr>
        <w:pStyle w:val="ListParagraph"/>
        <w:numPr>
          <w:ilvl w:val="1"/>
          <w:numId w:val="20"/>
        </w:numPr>
        <w:autoSpaceDE w:val="0"/>
        <w:autoSpaceDN w:val="0"/>
        <w:adjustRightInd w:val="0"/>
        <w:spacing w:after="0" w:line="240" w:lineRule="auto"/>
        <w:ind w:left="900" w:hanging="630"/>
        <w:jc w:val="both"/>
        <w:rPr>
          <w:rFonts w:ascii="Century Schoolbook" w:hAnsi="Century Schoolbook" w:cs="Times New Roman"/>
          <w:i/>
          <w:sz w:val="24"/>
          <w:szCs w:val="24"/>
        </w:rPr>
      </w:pPr>
      <w:r w:rsidRPr="00C53A3E">
        <w:rPr>
          <w:rFonts w:ascii="Century Schoolbook" w:hAnsi="Century Schoolbook" w:cs="Times New Roman"/>
          <w:i/>
          <w:sz w:val="24"/>
          <w:szCs w:val="24"/>
        </w:rPr>
        <w:t xml:space="preserve">US Department of Energy Electricity </w:t>
      </w:r>
      <w:proofErr w:type="spellStart"/>
      <w:r w:rsidRPr="00C53A3E">
        <w:rPr>
          <w:rFonts w:ascii="Century Schoolbook" w:hAnsi="Century Schoolbook" w:cs="Times New Roman"/>
          <w:i/>
          <w:sz w:val="24"/>
          <w:szCs w:val="24"/>
        </w:rPr>
        <w:t>Advosory</w:t>
      </w:r>
      <w:proofErr w:type="spellEnd"/>
      <w:r w:rsidRPr="00C53A3E">
        <w:rPr>
          <w:rFonts w:ascii="Century Schoolbook" w:hAnsi="Century Schoolbook" w:cs="Times New Roman"/>
          <w:i/>
          <w:sz w:val="24"/>
          <w:szCs w:val="24"/>
        </w:rPr>
        <w:t xml:space="preserve"> Committee, </w:t>
      </w:r>
      <w:r w:rsidRPr="00C53A3E">
        <w:rPr>
          <w:rFonts w:ascii="Century Schoolbook" w:hAnsi="Century Schoolbook" w:cs="Times New Roman"/>
          <w:sz w:val="24"/>
          <w:szCs w:val="24"/>
        </w:rPr>
        <w:t>Institutional Perspectives on Grid Resilience: A Regulator’s,</w:t>
      </w:r>
      <w:r w:rsidRPr="00C53A3E">
        <w:rPr>
          <w:rFonts w:ascii="Century Schoolbook" w:hAnsi="Century Schoolbook" w:cs="Times New Roman"/>
          <w:i/>
          <w:sz w:val="24"/>
          <w:szCs w:val="24"/>
        </w:rPr>
        <w:t xml:space="preserve"> Consumer Advocate’s, Elected Official’s, and Utility’s Perspective, </w:t>
      </w:r>
      <w:r w:rsidR="00F0295B" w:rsidRPr="00C53A3E">
        <w:rPr>
          <w:rFonts w:ascii="Century Schoolbook" w:hAnsi="Century Schoolbook" w:cs="Times New Roman"/>
          <w:i/>
          <w:sz w:val="24"/>
          <w:szCs w:val="24"/>
        </w:rPr>
        <w:t>Washington, DC, October 17, 2018</w:t>
      </w:r>
      <w:r w:rsidRPr="00C53A3E">
        <w:rPr>
          <w:rFonts w:ascii="Century Schoolbook" w:hAnsi="Century Schoolbook" w:cs="Times New Roman"/>
          <w:i/>
          <w:sz w:val="24"/>
          <w:szCs w:val="24"/>
        </w:rPr>
        <w:t>;</w:t>
      </w:r>
    </w:p>
    <w:p w14:paraId="28F9E824" w14:textId="77777777" w:rsidR="00A07011" w:rsidRPr="008342B5" w:rsidRDefault="00A07011" w:rsidP="000F727B">
      <w:pPr>
        <w:pStyle w:val="ListParagraph"/>
        <w:ind w:left="900" w:hanging="540"/>
        <w:rPr>
          <w:rFonts w:ascii="Century Schoolbook" w:hAnsi="Century Schoolbook" w:cs="Times New Roman"/>
          <w:i/>
          <w:sz w:val="24"/>
          <w:szCs w:val="24"/>
        </w:rPr>
      </w:pPr>
    </w:p>
    <w:p w14:paraId="39EB8A5E" w14:textId="77777777" w:rsidR="00424B88" w:rsidRPr="00C53A3E" w:rsidRDefault="00F0295B" w:rsidP="003F7DBA">
      <w:pPr>
        <w:pStyle w:val="ListParagraph"/>
        <w:numPr>
          <w:ilvl w:val="1"/>
          <w:numId w:val="20"/>
        </w:numPr>
        <w:ind w:left="900" w:hanging="630"/>
        <w:rPr>
          <w:rFonts w:ascii="Century Schoolbook" w:hAnsi="Century Schoolbook" w:cs="Times New Roman"/>
          <w:i/>
          <w:sz w:val="24"/>
          <w:szCs w:val="24"/>
        </w:rPr>
      </w:pPr>
      <w:r w:rsidRPr="00C53A3E">
        <w:rPr>
          <w:rFonts w:ascii="Century Schoolbook" w:hAnsi="Century Schoolbook" w:cs="Times New Roman"/>
          <w:i/>
          <w:sz w:val="24"/>
          <w:szCs w:val="24"/>
        </w:rPr>
        <w:t xml:space="preserve">Critical Consumer Issues Forum, </w:t>
      </w:r>
      <w:r w:rsidRPr="00C53A3E">
        <w:rPr>
          <w:rFonts w:ascii="Century Schoolbook" w:hAnsi="Century Schoolbook" w:cs="Times New Roman"/>
          <w:sz w:val="24"/>
          <w:szCs w:val="24"/>
        </w:rPr>
        <w:t>Orlando, FL, November 10, 2018;</w:t>
      </w:r>
    </w:p>
    <w:p w14:paraId="66D4E176" w14:textId="1C2800C2" w:rsidR="00E951CF" w:rsidRDefault="00F0295B" w:rsidP="00C53A3E">
      <w:pPr>
        <w:pStyle w:val="ListParagraph"/>
        <w:ind w:left="1440"/>
        <w:rPr>
          <w:rFonts w:ascii="Century Schoolbook" w:hAnsi="Century Schoolbook" w:cs="Times New Roman"/>
          <w:i/>
          <w:sz w:val="24"/>
          <w:szCs w:val="24"/>
        </w:rPr>
      </w:pPr>
      <w:r w:rsidRPr="00C53A3E">
        <w:rPr>
          <w:rFonts w:ascii="Century Schoolbook" w:hAnsi="Century Schoolbook" w:cs="Times New Roman"/>
          <w:i/>
          <w:sz w:val="24"/>
          <w:szCs w:val="24"/>
        </w:rPr>
        <w:t xml:space="preserve"> </w:t>
      </w:r>
    </w:p>
    <w:p w14:paraId="3CF2CBAF" w14:textId="13D6871B" w:rsidR="00424B88" w:rsidRPr="00C53A3E" w:rsidRDefault="00424B88" w:rsidP="003F7DBA">
      <w:pPr>
        <w:pStyle w:val="ListParagraph"/>
        <w:numPr>
          <w:ilvl w:val="1"/>
          <w:numId w:val="20"/>
        </w:numPr>
        <w:ind w:left="900" w:hanging="630"/>
        <w:rPr>
          <w:rFonts w:ascii="Century Schoolbook" w:hAnsi="Century Schoolbook" w:cs="Times New Roman"/>
          <w:sz w:val="24"/>
          <w:szCs w:val="24"/>
        </w:rPr>
      </w:pPr>
      <w:r w:rsidRPr="00C53A3E">
        <w:rPr>
          <w:rFonts w:ascii="Century Schoolbook" w:hAnsi="Century Schoolbook" w:cs="Times New Roman"/>
          <w:i/>
          <w:sz w:val="24"/>
          <w:szCs w:val="24"/>
        </w:rPr>
        <w:t>NASUCA Mid</w:t>
      </w:r>
      <w:r w:rsidR="0046690C">
        <w:rPr>
          <w:rFonts w:ascii="Century Schoolbook" w:hAnsi="Century Schoolbook" w:cs="Times New Roman"/>
          <w:i/>
          <w:sz w:val="24"/>
          <w:szCs w:val="24"/>
        </w:rPr>
        <w:t>-Y</w:t>
      </w:r>
      <w:r w:rsidRPr="00C53A3E">
        <w:rPr>
          <w:rFonts w:ascii="Century Schoolbook" w:hAnsi="Century Schoolbook" w:cs="Times New Roman"/>
          <w:i/>
          <w:sz w:val="24"/>
          <w:szCs w:val="24"/>
        </w:rPr>
        <w:t xml:space="preserve">ear Meeting, </w:t>
      </w:r>
      <w:r w:rsidRPr="00C53A3E">
        <w:rPr>
          <w:rFonts w:ascii="Century Schoolbook" w:hAnsi="Century Schoolbook" w:cs="Times New Roman"/>
          <w:sz w:val="24"/>
          <w:szCs w:val="24"/>
        </w:rPr>
        <w:t>Orlando, Florida, November 11, 2018;</w:t>
      </w:r>
    </w:p>
    <w:p w14:paraId="2DC9128A" w14:textId="04A1CC87" w:rsidR="00424B88" w:rsidRPr="008342B5" w:rsidRDefault="00424B88" w:rsidP="00C53A3E">
      <w:pPr>
        <w:pStyle w:val="ListParagraph"/>
        <w:ind w:left="1530" w:hanging="720"/>
        <w:rPr>
          <w:rFonts w:ascii="Century Schoolbook" w:hAnsi="Century Schoolbook" w:cs="Times New Roman"/>
          <w:i/>
          <w:sz w:val="24"/>
          <w:szCs w:val="24"/>
        </w:rPr>
      </w:pPr>
    </w:p>
    <w:p w14:paraId="1410B741" w14:textId="1C48C32F" w:rsidR="009C6750" w:rsidRDefault="00F0295B" w:rsidP="003F7DBA">
      <w:pPr>
        <w:pStyle w:val="ListParagraph"/>
        <w:numPr>
          <w:ilvl w:val="1"/>
          <w:numId w:val="20"/>
        </w:numPr>
        <w:ind w:left="900" w:hanging="630"/>
        <w:rPr>
          <w:rFonts w:ascii="Century Schoolbook" w:hAnsi="Century Schoolbook" w:cs="Times New Roman"/>
          <w:i/>
          <w:sz w:val="24"/>
          <w:szCs w:val="24"/>
        </w:rPr>
      </w:pPr>
      <w:r>
        <w:rPr>
          <w:rFonts w:ascii="Century Schoolbook" w:hAnsi="Century Schoolbook" w:cs="Times New Roman"/>
          <w:i/>
          <w:sz w:val="24"/>
          <w:szCs w:val="24"/>
        </w:rPr>
        <w:t xml:space="preserve">Customer Solutions Executive Advisory Committee, </w:t>
      </w:r>
      <w:r w:rsidRPr="00BD167A">
        <w:rPr>
          <w:rFonts w:ascii="Century Schoolbook" w:hAnsi="Century Schoolbook" w:cs="Times New Roman"/>
          <w:sz w:val="24"/>
          <w:szCs w:val="24"/>
        </w:rPr>
        <w:t>Washington, DC, November 29, 2018;</w:t>
      </w:r>
      <w:r>
        <w:rPr>
          <w:rFonts w:ascii="Century Schoolbook" w:hAnsi="Century Schoolbook" w:cs="Times New Roman"/>
          <w:i/>
          <w:sz w:val="24"/>
          <w:szCs w:val="24"/>
        </w:rPr>
        <w:t>NEPOOL Participant Committee, Boston, Massachusetts, November 1, 2018</w:t>
      </w:r>
      <w:r w:rsidR="000F727B">
        <w:rPr>
          <w:rFonts w:ascii="Century Schoolbook" w:hAnsi="Century Schoolbook" w:cs="Times New Roman"/>
          <w:i/>
          <w:sz w:val="24"/>
          <w:szCs w:val="24"/>
        </w:rPr>
        <w:t>;</w:t>
      </w:r>
    </w:p>
    <w:p w14:paraId="6052F288" w14:textId="77777777" w:rsidR="00F0295B" w:rsidRPr="008342B5" w:rsidRDefault="00F0295B" w:rsidP="00B660F4">
      <w:pPr>
        <w:pStyle w:val="ListParagraph"/>
        <w:ind w:left="810" w:firstLine="540"/>
        <w:rPr>
          <w:rFonts w:ascii="Century Schoolbook" w:hAnsi="Century Schoolbook" w:cs="Times New Roman"/>
          <w:i/>
          <w:sz w:val="24"/>
          <w:szCs w:val="24"/>
        </w:rPr>
      </w:pPr>
    </w:p>
    <w:p w14:paraId="530D7887" w14:textId="12069888" w:rsidR="009C6750" w:rsidRPr="00C53A3E" w:rsidRDefault="00ED62B0" w:rsidP="003F7DBA">
      <w:pPr>
        <w:pStyle w:val="ListParagraph"/>
        <w:numPr>
          <w:ilvl w:val="1"/>
          <w:numId w:val="20"/>
        </w:numPr>
        <w:ind w:left="990" w:hanging="720"/>
        <w:rPr>
          <w:rFonts w:ascii="Century Schoolbook" w:hAnsi="Century Schoolbook" w:cs="Times New Roman"/>
          <w:i/>
          <w:sz w:val="24"/>
          <w:szCs w:val="24"/>
        </w:rPr>
      </w:pPr>
      <w:r>
        <w:rPr>
          <w:rFonts w:ascii="Century Schoolbook" w:hAnsi="Century Schoolbook" w:cs="Times New Roman"/>
          <w:i/>
          <w:sz w:val="24"/>
          <w:szCs w:val="24"/>
        </w:rPr>
        <w:t xml:space="preserve">NASUCA, Washington, </w:t>
      </w:r>
      <w:r w:rsidRPr="00BD167A">
        <w:rPr>
          <w:rFonts w:ascii="Century Schoolbook" w:hAnsi="Century Schoolbook" w:cs="Times New Roman"/>
          <w:sz w:val="24"/>
          <w:szCs w:val="24"/>
        </w:rPr>
        <w:t>DC, December 17, 2018;</w:t>
      </w:r>
    </w:p>
    <w:p w14:paraId="46C04BBF" w14:textId="77777777" w:rsidR="00424B88" w:rsidRPr="00C53A3E" w:rsidRDefault="00424B88" w:rsidP="00C53A3E">
      <w:pPr>
        <w:pStyle w:val="ListParagraph"/>
        <w:rPr>
          <w:rFonts w:ascii="Century Schoolbook" w:hAnsi="Century Schoolbook" w:cs="Times New Roman"/>
          <w:i/>
          <w:sz w:val="24"/>
          <w:szCs w:val="24"/>
        </w:rPr>
      </w:pPr>
    </w:p>
    <w:p w14:paraId="46D5C17D" w14:textId="4D090657" w:rsidR="009C6750" w:rsidRPr="00BD167A" w:rsidRDefault="00ED62B0" w:rsidP="003F7DBA">
      <w:pPr>
        <w:pStyle w:val="ListParagraph"/>
        <w:numPr>
          <w:ilvl w:val="1"/>
          <w:numId w:val="20"/>
        </w:numPr>
        <w:autoSpaceDE w:val="0"/>
        <w:autoSpaceDN w:val="0"/>
        <w:adjustRightInd w:val="0"/>
        <w:spacing w:after="0" w:line="240" w:lineRule="auto"/>
        <w:ind w:left="900" w:hanging="630"/>
        <w:jc w:val="both"/>
        <w:rPr>
          <w:rFonts w:ascii="Century Schoolbook" w:hAnsi="Century Schoolbook" w:cs="Times New Roman"/>
          <w:sz w:val="24"/>
          <w:szCs w:val="24"/>
        </w:rPr>
      </w:pPr>
      <w:r>
        <w:rPr>
          <w:rFonts w:ascii="Century Schoolbook" w:hAnsi="Century Schoolbook" w:cs="Times New Roman"/>
          <w:i/>
          <w:sz w:val="24"/>
          <w:szCs w:val="24"/>
        </w:rPr>
        <w:t xml:space="preserve">Keystone Energy Board Meeting, </w:t>
      </w:r>
      <w:r w:rsidRPr="00BD167A">
        <w:rPr>
          <w:rFonts w:ascii="Century Schoolbook" w:hAnsi="Century Schoolbook" w:cs="Times New Roman"/>
          <w:sz w:val="24"/>
          <w:szCs w:val="24"/>
        </w:rPr>
        <w:t>Denver, Colorado, February 6, 2019;</w:t>
      </w:r>
    </w:p>
    <w:p w14:paraId="116CA836" w14:textId="77777777" w:rsidR="009C6750" w:rsidRPr="00BD167A" w:rsidRDefault="009C6750" w:rsidP="000C42FF">
      <w:pPr>
        <w:pStyle w:val="ListParagraph"/>
        <w:ind w:left="900" w:hanging="540"/>
        <w:rPr>
          <w:rFonts w:ascii="Century Schoolbook" w:hAnsi="Century Schoolbook" w:cs="Times New Roman"/>
          <w:sz w:val="24"/>
          <w:szCs w:val="24"/>
        </w:rPr>
      </w:pPr>
    </w:p>
    <w:p w14:paraId="596CFB07" w14:textId="2DD64BE0" w:rsidR="002D4BB3" w:rsidRPr="002D4BB3" w:rsidRDefault="00ED62B0" w:rsidP="003F7DBA">
      <w:pPr>
        <w:pStyle w:val="ListParagraph"/>
        <w:numPr>
          <w:ilvl w:val="1"/>
          <w:numId w:val="20"/>
        </w:numPr>
        <w:ind w:left="900" w:hanging="630"/>
        <w:rPr>
          <w:rFonts w:ascii="Century Schoolbook" w:hAnsi="Century Schoolbook" w:cs="Times New Roman"/>
          <w:i/>
          <w:sz w:val="24"/>
          <w:szCs w:val="24"/>
        </w:rPr>
      </w:pPr>
      <w:r>
        <w:rPr>
          <w:rFonts w:ascii="Century Schoolbook" w:hAnsi="Century Schoolbook" w:cs="Times New Roman"/>
          <w:i/>
          <w:sz w:val="24"/>
          <w:szCs w:val="24"/>
        </w:rPr>
        <w:t xml:space="preserve">NARUC 2019 Winter Policy Summit; </w:t>
      </w:r>
      <w:r w:rsidRPr="00BD167A">
        <w:rPr>
          <w:rFonts w:ascii="Century Schoolbook" w:hAnsi="Century Schoolbook" w:cs="Times New Roman"/>
          <w:sz w:val="24"/>
          <w:szCs w:val="24"/>
        </w:rPr>
        <w:t>Washington, DC, February 10, 2019;</w:t>
      </w:r>
    </w:p>
    <w:p w14:paraId="11299084" w14:textId="77777777" w:rsidR="002D4BB3" w:rsidRPr="002D4BB3" w:rsidRDefault="002D4BB3" w:rsidP="002D4BB3">
      <w:pPr>
        <w:pStyle w:val="ListParagraph"/>
        <w:ind w:left="900"/>
        <w:rPr>
          <w:rFonts w:ascii="Century Schoolbook" w:hAnsi="Century Schoolbook" w:cs="Times New Roman"/>
          <w:i/>
          <w:sz w:val="24"/>
          <w:szCs w:val="24"/>
        </w:rPr>
      </w:pPr>
    </w:p>
    <w:p w14:paraId="0598D982" w14:textId="50DFD41E" w:rsidR="00254959" w:rsidRDefault="000140C5"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i/>
          <w:sz w:val="24"/>
          <w:szCs w:val="24"/>
        </w:rPr>
      </w:pPr>
      <w:r w:rsidRPr="000140C5">
        <w:rPr>
          <w:rFonts w:ascii="Century Schoolbook" w:hAnsi="Century Schoolbook" w:cs="Times New Roman"/>
          <w:i/>
          <w:sz w:val="24"/>
          <w:szCs w:val="24"/>
        </w:rPr>
        <w:t xml:space="preserve">Gee Wall Street Dialog, </w:t>
      </w:r>
      <w:r w:rsidRPr="00BD167A">
        <w:rPr>
          <w:rFonts w:ascii="Century Schoolbook" w:hAnsi="Century Schoolbook" w:cs="Times New Roman"/>
          <w:sz w:val="24"/>
          <w:szCs w:val="24"/>
        </w:rPr>
        <w:t>New York City, NY, March 4, 2019;</w:t>
      </w:r>
      <w:r w:rsidRPr="000140C5">
        <w:rPr>
          <w:rFonts w:ascii="Century Schoolbook" w:hAnsi="Century Schoolbook" w:cs="Times New Roman"/>
          <w:i/>
          <w:sz w:val="24"/>
          <w:szCs w:val="24"/>
        </w:rPr>
        <w:t xml:space="preserve"> </w:t>
      </w:r>
    </w:p>
    <w:p w14:paraId="27396636" w14:textId="77777777" w:rsidR="00B660F4" w:rsidRPr="000140C5" w:rsidRDefault="00B660F4" w:rsidP="000C42FF">
      <w:pPr>
        <w:pStyle w:val="ListParagraph"/>
        <w:autoSpaceDE w:val="0"/>
        <w:autoSpaceDN w:val="0"/>
        <w:adjustRightInd w:val="0"/>
        <w:spacing w:after="0" w:line="240" w:lineRule="auto"/>
        <w:ind w:left="900" w:hanging="540"/>
        <w:jc w:val="both"/>
        <w:rPr>
          <w:rFonts w:ascii="Century Schoolbook" w:hAnsi="Century Schoolbook" w:cs="Times New Roman"/>
          <w:i/>
          <w:sz w:val="24"/>
          <w:szCs w:val="24"/>
        </w:rPr>
      </w:pPr>
    </w:p>
    <w:p w14:paraId="53DCF4CA" w14:textId="6FEFA302" w:rsidR="00472908" w:rsidRPr="00BD167A" w:rsidRDefault="000140C5"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i/>
          <w:sz w:val="24"/>
          <w:szCs w:val="24"/>
        </w:rPr>
      </w:pPr>
      <w:r>
        <w:rPr>
          <w:rFonts w:ascii="Century Schoolbook" w:hAnsi="Century Schoolbook" w:cs="Times New Roman"/>
          <w:i/>
          <w:sz w:val="24"/>
          <w:szCs w:val="24"/>
        </w:rPr>
        <w:t xml:space="preserve">CCIF Forum, Driving a Customer-Centric Energy Future, </w:t>
      </w:r>
      <w:r w:rsidRPr="00BD167A">
        <w:rPr>
          <w:rFonts w:ascii="Century Schoolbook" w:hAnsi="Century Schoolbook" w:cs="Times New Roman"/>
          <w:sz w:val="24"/>
          <w:szCs w:val="24"/>
        </w:rPr>
        <w:t>New Orleans, Louisiana, March 18, 2019;</w:t>
      </w:r>
      <w:r>
        <w:rPr>
          <w:rFonts w:ascii="Century Schoolbook" w:hAnsi="Century Schoolbook" w:cs="Times New Roman"/>
          <w:i/>
          <w:sz w:val="24"/>
          <w:szCs w:val="24"/>
        </w:rPr>
        <w:t xml:space="preserve"> </w:t>
      </w:r>
    </w:p>
    <w:p w14:paraId="5EA7DBCC" w14:textId="77777777" w:rsidR="00254959" w:rsidRPr="008342B5" w:rsidRDefault="00254959" w:rsidP="000C42FF">
      <w:pPr>
        <w:pStyle w:val="ListParagraph"/>
        <w:ind w:left="900" w:hanging="540"/>
        <w:rPr>
          <w:rFonts w:ascii="Century Schoolbook" w:hAnsi="Century Schoolbook" w:cs="Times New Roman"/>
          <w:i/>
          <w:sz w:val="24"/>
          <w:szCs w:val="24"/>
        </w:rPr>
      </w:pPr>
    </w:p>
    <w:p w14:paraId="68A808F5" w14:textId="535AF82D" w:rsidR="00171BAF" w:rsidRPr="00BD167A" w:rsidRDefault="000140C5"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i/>
          <w:sz w:val="24"/>
          <w:szCs w:val="24"/>
        </w:rPr>
      </w:pPr>
      <w:r>
        <w:rPr>
          <w:rFonts w:ascii="Century Schoolbook" w:hAnsi="Century Schoolbook" w:cs="Times New Roman"/>
          <w:i/>
          <w:sz w:val="24"/>
          <w:szCs w:val="24"/>
        </w:rPr>
        <w:t xml:space="preserve">George Washington Law University, </w:t>
      </w:r>
      <w:r w:rsidRPr="00BD167A">
        <w:rPr>
          <w:rFonts w:ascii="Century Schoolbook" w:hAnsi="Century Schoolbook" w:cs="Times New Roman"/>
          <w:sz w:val="24"/>
          <w:szCs w:val="24"/>
        </w:rPr>
        <w:t>Law School Transportation Electrification Conference, Washington, DC, April 2, 2019;</w:t>
      </w:r>
      <w:r>
        <w:rPr>
          <w:rFonts w:ascii="Century Schoolbook" w:hAnsi="Century Schoolbook" w:cs="Times New Roman"/>
          <w:i/>
          <w:sz w:val="24"/>
          <w:szCs w:val="24"/>
        </w:rPr>
        <w:t xml:space="preserve">  </w:t>
      </w:r>
    </w:p>
    <w:p w14:paraId="116C95C5" w14:textId="77777777" w:rsidR="000140C5" w:rsidRPr="00BD167A" w:rsidRDefault="000140C5" w:rsidP="000C42FF">
      <w:pPr>
        <w:pStyle w:val="ListParagraph"/>
        <w:ind w:left="900" w:hanging="540"/>
        <w:rPr>
          <w:rFonts w:ascii="Century Schoolbook" w:hAnsi="Century Schoolbook" w:cs="Times New Roman"/>
          <w:i/>
          <w:sz w:val="24"/>
          <w:szCs w:val="24"/>
        </w:rPr>
      </w:pPr>
    </w:p>
    <w:p w14:paraId="0DBA5639" w14:textId="732908AF" w:rsidR="000140C5" w:rsidRPr="00BD167A" w:rsidRDefault="000140C5"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sz w:val="24"/>
          <w:szCs w:val="24"/>
        </w:rPr>
      </w:pPr>
      <w:r>
        <w:rPr>
          <w:rFonts w:ascii="Century Schoolbook" w:hAnsi="Century Schoolbook" w:cs="Times New Roman"/>
          <w:i/>
          <w:sz w:val="24"/>
          <w:szCs w:val="24"/>
        </w:rPr>
        <w:t xml:space="preserve">Energy Bar Association Annual Conference, </w:t>
      </w:r>
      <w:r w:rsidRPr="00BD167A">
        <w:rPr>
          <w:rFonts w:ascii="Century Schoolbook" w:hAnsi="Century Schoolbook" w:cs="Times New Roman"/>
          <w:sz w:val="24"/>
          <w:szCs w:val="24"/>
        </w:rPr>
        <w:t>Washington, DC</w:t>
      </w:r>
      <w:r w:rsidR="00DC26A2" w:rsidRPr="00DC26A2">
        <w:rPr>
          <w:rFonts w:ascii="Century Schoolbook" w:hAnsi="Century Schoolbook" w:cs="Times New Roman"/>
          <w:sz w:val="24"/>
          <w:szCs w:val="24"/>
        </w:rPr>
        <w:t xml:space="preserve">, </w:t>
      </w:r>
      <w:r w:rsidR="00DC26A2" w:rsidRPr="00381A97">
        <w:rPr>
          <w:rFonts w:ascii="Century Schoolbook" w:hAnsi="Century Schoolbook" w:cs="Times New Roman"/>
          <w:sz w:val="24"/>
          <w:szCs w:val="24"/>
        </w:rPr>
        <w:t>May 5, 2019</w:t>
      </w:r>
      <w:r w:rsidR="00DC26A2">
        <w:rPr>
          <w:rFonts w:ascii="Century Schoolbook" w:hAnsi="Century Schoolbook" w:cs="Times New Roman"/>
          <w:sz w:val="24"/>
          <w:szCs w:val="24"/>
        </w:rPr>
        <w:t>;</w:t>
      </w:r>
      <w:r w:rsidR="00EF0F7A">
        <w:rPr>
          <w:rFonts w:ascii="Century Schoolbook" w:hAnsi="Century Schoolbook" w:cs="Times New Roman"/>
          <w:sz w:val="24"/>
          <w:szCs w:val="24"/>
        </w:rPr>
        <w:t xml:space="preserve"> and</w:t>
      </w:r>
    </w:p>
    <w:p w14:paraId="408A9044" w14:textId="77777777" w:rsidR="000140C5" w:rsidRPr="00BD167A" w:rsidRDefault="000140C5" w:rsidP="000C42FF">
      <w:pPr>
        <w:pStyle w:val="ListParagraph"/>
        <w:ind w:left="900" w:hanging="540"/>
        <w:rPr>
          <w:rFonts w:ascii="Century Schoolbook" w:hAnsi="Century Schoolbook" w:cs="Times New Roman"/>
          <w:i/>
          <w:sz w:val="24"/>
          <w:szCs w:val="24"/>
        </w:rPr>
      </w:pPr>
    </w:p>
    <w:p w14:paraId="1ECD4617" w14:textId="5EF4DF57" w:rsidR="000140C5" w:rsidRPr="00BD167A" w:rsidRDefault="000140C5"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sz w:val="24"/>
          <w:szCs w:val="24"/>
        </w:rPr>
      </w:pPr>
      <w:r>
        <w:rPr>
          <w:rFonts w:ascii="Century Schoolbook" w:hAnsi="Century Schoolbook" w:cs="Times New Roman"/>
          <w:i/>
          <w:sz w:val="24"/>
          <w:szCs w:val="24"/>
        </w:rPr>
        <w:t>Solving the Digital Divide in New England;</w:t>
      </w:r>
      <w:r w:rsidRPr="00BD167A">
        <w:rPr>
          <w:rFonts w:ascii="Century Schoolbook" w:hAnsi="Century Schoolbook" w:cs="Times New Roman"/>
          <w:sz w:val="24"/>
          <w:szCs w:val="24"/>
        </w:rPr>
        <w:t xml:space="preserve"> Boston, MA</w:t>
      </w:r>
      <w:r w:rsidR="00DC26A2">
        <w:rPr>
          <w:rFonts w:ascii="Century Schoolbook" w:hAnsi="Century Schoolbook" w:cs="Times New Roman"/>
          <w:sz w:val="24"/>
          <w:szCs w:val="24"/>
        </w:rPr>
        <w:t>,</w:t>
      </w:r>
      <w:r w:rsidRPr="00BD167A">
        <w:rPr>
          <w:rFonts w:ascii="Century Schoolbook" w:hAnsi="Century Schoolbook" w:cs="Times New Roman"/>
          <w:sz w:val="24"/>
          <w:szCs w:val="24"/>
        </w:rPr>
        <w:t xml:space="preserve"> </w:t>
      </w:r>
      <w:r w:rsidR="00DC26A2" w:rsidRPr="00477528">
        <w:rPr>
          <w:rFonts w:ascii="Century Schoolbook" w:hAnsi="Century Schoolbook" w:cs="Times New Roman"/>
          <w:sz w:val="24"/>
          <w:szCs w:val="24"/>
        </w:rPr>
        <w:t>June 14, 2019</w:t>
      </w:r>
      <w:r w:rsidR="00EF0F7A">
        <w:rPr>
          <w:rFonts w:ascii="Century Schoolbook" w:hAnsi="Century Schoolbook" w:cs="Times New Roman"/>
          <w:sz w:val="24"/>
          <w:szCs w:val="24"/>
        </w:rPr>
        <w:t>.</w:t>
      </w:r>
    </w:p>
    <w:p w14:paraId="44069B79" w14:textId="77777777" w:rsidR="005D7329" w:rsidRPr="00134E90" w:rsidRDefault="005D7329" w:rsidP="000C42FF">
      <w:pPr>
        <w:pStyle w:val="ListParagraph"/>
        <w:ind w:left="900" w:hanging="540"/>
        <w:rPr>
          <w:rFonts w:ascii="Century Schoolbook" w:hAnsi="Century Schoolbook" w:cs="Times New Roman"/>
          <w:i/>
          <w:sz w:val="24"/>
          <w:szCs w:val="24"/>
        </w:rPr>
      </w:pPr>
    </w:p>
    <w:p w14:paraId="4C8756DC" w14:textId="149F19EE" w:rsidR="001C7257" w:rsidRPr="00134E90" w:rsidRDefault="005D7329"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sz w:val="24"/>
          <w:szCs w:val="24"/>
        </w:rPr>
      </w:pPr>
      <w:r w:rsidRPr="00134E90">
        <w:rPr>
          <w:rFonts w:ascii="Century Schoolbook" w:hAnsi="Century Schoolbook" w:cs="Times New Roman"/>
          <w:sz w:val="24"/>
          <w:szCs w:val="24"/>
        </w:rPr>
        <w:t xml:space="preserve">Principal Attorney Bill </w:t>
      </w:r>
      <w:proofErr w:type="spellStart"/>
      <w:r w:rsidRPr="00134E90">
        <w:rPr>
          <w:rFonts w:ascii="Century Schoolbook" w:hAnsi="Century Schoolbook" w:cs="Times New Roman"/>
          <w:sz w:val="24"/>
          <w:szCs w:val="24"/>
        </w:rPr>
        <w:t>Vallee</w:t>
      </w:r>
      <w:proofErr w:type="spellEnd"/>
      <w:r w:rsidR="00F16170">
        <w:rPr>
          <w:rFonts w:ascii="Century Schoolbook" w:hAnsi="Century Schoolbook" w:cs="Times New Roman"/>
          <w:sz w:val="24"/>
          <w:szCs w:val="24"/>
        </w:rPr>
        <w:t xml:space="preserve">, state Broadband Policy Coordinator since 2008, retired as of 8/30/19, </w:t>
      </w:r>
      <w:r w:rsidRPr="00134E90">
        <w:rPr>
          <w:rFonts w:ascii="Century Schoolbook" w:hAnsi="Century Schoolbook" w:cs="Times New Roman"/>
          <w:sz w:val="24"/>
          <w:szCs w:val="24"/>
        </w:rPr>
        <w:t xml:space="preserve"> </w:t>
      </w:r>
      <w:r w:rsidR="00F16170">
        <w:rPr>
          <w:rFonts w:ascii="Century Schoolbook" w:hAnsi="Century Schoolbook" w:cs="Times New Roman"/>
          <w:sz w:val="24"/>
          <w:szCs w:val="24"/>
        </w:rPr>
        <w:t>wa</w:t>
      </w:r>
      <w:r w:rsidRPr="00134E90">
        <w:rPr>
          <w:rFonts w:ascii="Century Schoolbook" w:hAnsi="Century Schoolbook" w:cs="Times New Roman"/>
          <w:sz w:val="24"/>
          <w:szCs w:val="24"/>
        </w:rPr>
        <w:t>s a member of the NTIA State Broadband Leaders Network which is comprised of state broadband leaders from the 56 entities of the U.S. (50 states, 5 possessions and territories, and D.C.), seeking to develop and promote best practices to expand affordable broadband internet access.</w:t>
      </w:r>
      <w:r w:rsidR="00F16170">
        <w:rPr>
          <w:rFonts w:ascii="Century Schoolbook" w:hAnsi="Century Schoolbook" w:cs="Times New Roman"/>
          <w:sz w:val="24"/>
          <w:szCs w:val="24"/>
        </w:rPr>
        <w:t xml:space="preserve"> </w:t>
      </w:r>
    </w:p>
    <w:p w14:paraId="7F1C10F5" w14:textId="77777777" w:rsidR="001C7257" w:rsidRPr="00134E90" w:rsidRDefault="001C7257" w:rsidP="000C42FF">
      <w:pPr>
        <w:pStyle w:val="ListParagraph"/>
        <w:autoSpaceDE w:val="0"/>
        <w:autoSpaceDN w:val="0"/>
        <w:adjustRightInd w:val="0"/>
        <w:spacing w:after="0" w:line="240" w:lineRule="auto"/>
        <w:ind w:left="900" w:hanging="540"/>
        <w:jc w:val="both"/>
        <w:rPr>
          <w:rFonts w:ascii="Century Schoolbook" w:hAnsi="Century Schoolbook" w:cs="Times New Roman"/>
          <w:sz w:val="24"/>
          <w:szCs w:val="24"/>
        </w:rPr>
      </w:pPr>
    </w:p>
    <w:p w14:paraId="72C37B71" w14:textId="691488AA" w:rsidR="001C7257" w:rsidRPr="00134E90" w:rsidRDefault="001C7257"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sz w:val="24"/>
          <w:szCs w:val="24"/>
        </w:rPr>
      </w:pPr>
      <w:r w:rsidRPr="00134E90">
        <w:rPr>
          <w:rFonts w:ascii="Century Schoolbook" w:hAnsi="Century Schoolbook" w:cs="Times New Roman"/>
          <w:sz w:val="24"/>
          <w:szCs w:val="24"/>
        </w:rPr>
        <w:t xml:space="preserve">Principal Attorney Bill </w:t>
      </w:r>
      <w:proofErr w:type="spellStart"/>
      <w:r w:rsidRPr="00134E90">
        <w:rPr>
          <w:rFonts w:ascii="Century Schoolbook" w:hAnsi="Century Schoolbook" w:cs="Times New Roman"/>
          <w:sz w:val="24"/>
          <w:szCs w:val="24"/>
        </w:rPr>
        <w:t>Vallee</w:t>
      </w:r>
      <w:proofErr w:type="spellEnd"/>
      <w:r w:rsidR="00F16170">
        <w:rPr>
          <w:rFonts w:ascii="Century Schoolbook" w:hAnsi="Century Schoolbook" w:cs="Times New Roman"/>
          <w:sz w:val="24"/>
          <w:szCs w:val="24"/>
        </w:rPr>
        <w:t xml:space="preserve">, state Broadband Policy Coordinator since 2008, retired as of 8/30/19, </w:t>
      </w:r>
      <w:r w:rsidRPr="00134E90">
        <w:rPr>
          <w:rFonts w:ascii="Century Schoolbook" w:hAnsi="Century Schoolbook" w:cs="Times New Roman"/>
          <w:sz w:val="24"/>
          <w:szCs w:val="24"/>
        </w:rPr>
        <w:t>represent</w:t>
      </w:r>
      <w:r w:rsidR="00F16170">
        <w:rPr>
          <w:rFonts w:ascii="Century Schoolbook" w:hAnsi="Century Schoolbook" w:cs="Times New Roman"/>
          <w:sz w:val="24"/>
          <w:szCs w:val="24"/>
        </w:rPr>
        <w:t>ed</w:t>
      </w:r>
      <w:r w:rsidRPr="00134E90">
        <w:rPr>
          <w:rFonts w:ascii="Century Schoolbook" w:hAnsi="Century Schoolbook" w:cs="Times New Roman"/>
          <w:sz w:val="24"/>
          <w:szCs w:val="24"/>
        </w:rPr>
        <w:t xml:space="preserve"> the OCC/SBO as a board member and chair of the Audit Committee of the Connecticut Economic Resource Center (CERC), which works with public utility companies and other state agencies and private corporations to promote the economic well-being of Connecticut.</w:t>
      </w:r>
      <w:r w:rsidR="00EA03C0">
        <w:rPr>
          <w:rFonts w:ascii="Century Schoolbook" w:hAnsi="Century Schoolbook" w:cs="Times New Roman"/>
          <w:sz w:val="24"/>
          <w:szCs w:val="24"/>
        </w:rPr>
        <w:t xml:space="preserve"> </w:t>
      </w:r>
      <w:r w:rsidR="003C5198">
        <w:rPr>
          <w:rFonts w:ascii="Century Schoolbook" w:hAnsi="Century Schoolbook" w:cs="Times New Roman"/>
          <w:sz w:val="24"/>
          <w:szCs w:val="24"/>
        </w:rPr>
        <w:t xml:space="preserve">After Attorney </w:t>
      </w:r>
      <w:proofErr w:type="spellStart"/>
      <w:r w:rsidR="003C5198">
        <w:rPr>
          <w:rFonts w:ascii="Century Schoolbook" w:hAnsi="Century Schoolbook" w:cs="Times New Roman"/>
          <w:sz w:val="24"/>
          <w:szCs w:val="24"/>
        </w:rPr>
        <w:t>Vallee’s</w:t>
      </w:r>
      <w:proofErr w:type="spellEnd"/>
      <w:r w:rsidR="003C5198">
        <w:rPr>
          <w:rFonts w:ascii="Century Schoolbook" w:hAnsi="Century Schoolbook" w:cs="Times New Roman"/>
          <w:sz w:val="24"/>
          <w:szCs w:val="24"/>
        </w:rPr>
        <w:t xml:space="preserve"> retirement, Staff Economist John R. Viglione will continue representing OCC at CERC. </w:t>
      </w:r>
    </w:p>
    <w:p w14:paraId="50638261" w14:textId="77777777" w:rsidR="001C7257" w:rsidRPr="00134E90" w:rsidRDefault="001C7257" w:rsidP="00B660F4">
      <w:pPr>
        <w:pStyle w:val="ListParagraph"/>
        <w:autoSpaceDE w:val="0"/>
        <w:autoSpaceDN w:val="0"/>
        <w:adjustRightInd w:val="0"/>
        <w:spacing w:after="0" w:line="240" w:lineRule="auto"/>
        <w:ind w:left="810" w:firstLine="540"/>
        <w:jc w:val="both"/>
        <w:rPr>
          <w:rFonts w:ascii="Century Schoolbook" w:hAnsi="Century Schoolbook" w:cs="Times New Roman"/>
          <w:sz w:val="24"/>
          <w:szCs w:val="24"/>
        </w:rPr>
      </w:pPr>
    </w:p>
    <w:p w14:paraId="148DA579" w14:textId="1820B324" w:rsidR="001C7257" w:rsidRPr="00134E90" w:rsidRDefault="001C7257" w:rsidP="000C42FF">
      <w:pPr>
        <w:pStyle w:val="ListParagraph"/>
        <w:numPr>
          <w:ilvl w:val="1"/>
          <w:numId w:val="20"/>
        </w:numPr>
        <w:autoSpaceDE w:val="0"/>
        <w:autoSpaceDN w:val="0"/>
        <w:adjustRightInd w:val="0"/>
        <w:spacing w:after="0" w:line="240" w:lineRule="auto"/>
        <w:ind w:left="900" w:hanging="540"/>
        <w:jc w:val="both"/>
        <w:rPr>
          <w:rFonts w:ascii="Century Schoolbook" w:hAnsi="Century Schoolbook" w:cs="Times New Roman"/>
          <w:sz w:val="24"/>
          <w:szCs w:val="24"/>
        </w:rPr>
      </w:pPr>
      <w:r w:rsidRPr="00134E90">
        <w:rPr>
          <w:rFonts w:ascii="Century Schoolbook" w:hAnsi="Century Schoolbook" w:cs="Times New Roman"/>
          <w:sz w:val="24"/>
          <w:szCs w:val="24"/>
        </w:rPr>
        <w:t xml:space="preserve">Principal Attorney Bill </w:t>
      </w:r>
      <w:proofErr w:type="spellStart"/>
      <w:r w:rsidRPr="00134E90">
        <w:rPr>
          <w:rFonts w:ascii="Century Schoolbook" w:hAnsi="Century Schoolbook" w:cs="Times New Roman"/>
          <w:sz w:val="24"/>
          <w:szCs w:val="24"/>
        </w:rPr>
        <w:t>Vallee</w:t>
      </w:r>
      <w:proofErr w:type="spellEnd"/>
      <w:r w:rsidR="00F16170">
        <w:rPr>
          <w:rFonts w:ascii="Century Schoolbook" w:hAnsi="Century Schoolbook" w:cs="Times New Roman"/>
          <w:sz w:val="24"/>
          <w:szCs w:val="24"/>
        </w:rPr>
        <w:t xml:space="preserve">, state Broadband Policy Coordinator since 2008, retired as of 8/30/19, </w:t>
      </w:r>
      <w:r w:rsidR="00F16170" w:rsidRPr="00134E90">
        <w:rPr>
          <w:rFonts w:ascii="Century Schoolbook" w:hAnsi="Century Schoolbook" w:cs="Times New Roman"/>
          <w:sz w:val="24"/>
          <w:szCs w:val="24"/>
        </w:rPr>
        <w:t>represent</w:t>
      </w:r>
      <w:r w:rsidR="00F16170">
        <w:rPr>
          <w:rFonts w:ascii="Century Schoolbook" w:hAnsi="Century Schoolbook" w:cs="Times New Roman"/>
          <w:sz w:val="24"/>
          <w:szCs w:val="24"/>
        </w:rPr>
        <w:t>ed</w:t>
      </w:r>
      <w:r w:rsidRPr="00134E90">
        <w:rPr>
          <w:rFonts w:ascii="Century Schoolbook" w:hAnsi="Century Schoolbook" w:cs="Times New Roman"/>
          <w:sz w:val="24"/>
          <w:szCs w:val="24"/>
        </w:rPr>
        <w:t xml:space="preserve"> the OCC/SBO as a board member of the Commission on Educational Technology (CET), the governance board of the Connecticut Education Network and other fiber network infrastructure managed by the state; he is also a member of the CET Broadband Infrastructure subcommittee, which developed and published a Digital Equity Toolkit for use by municipalities, educational institutions, and libraries</w:t>
      </w:r>
      <w:r w:rsidR="000C42FF">
        <w:rPr>
          <w:rFonts w:ascii="Century Schoolbook" w:hAnsi="Century Schoolbook" w:cs="Times New Roman"/>
          <w:sz w:val="24"/>
          <w:szCs w:val="24"/>
        </w:rPr>
        <w:t>.</w:t>
      </w:r>
    </w:p>
    <w:p w14:paraId="1911CB75" w14:textId="77777777" w:rsidR="001C7257" w:rsidRPr="00134E90" w:rsidRDefault="001C7257" w:rsidP="00B660F4">
      <w:pPr>
        <w:pStyle w:val="ListParagraph"/>
        <w:autoSpaceDE w:val="0"/>
        <w:autoSpaceDN w:val="0"/>
        <w:adjustRightInd w:val="0"/>
        <w:spacing w:after="0" w:line="240" w:lineRule="auto"/>
        <w:ind w:left="810" w:firstLine="540"/>
        <w:jc w:val="both"/>
        <w:rPr>
          <w:rFonts w:ascii="Century Schoolbook" w:hAnsi="Century Schoolbook" w:cs="Times New Roman"/>
          <w:sz w:val="24"/>
          <w:szCs w:val="24"/>
        </w:rPr>
      </w:pPr>
    </w:p>
    <w:p w14:paraId="5AB6F954" w14:textId="40AB5BCA" w:rsidR="00E43FC6" w:rsidRPr="00C53A3E" w:rsidRDefault="00424B88" w:rsidP="000C42FF">
      <w:pPr>
        <w:pStyle w:val="ListParagraph"/>
        <w:tabs>
          <w:tab w:val="left" w:pos="810"/>
          <w:tab w:val="left" w:pos="900"/>
        </w:tabs>
        <w:autoSpaceDE w:val="0"/>
        <w:autoSpaceDN w:val="0"/>
        <w:adjustRightInd w:val="0"/>
        <w:spacing w:after="0" w:line="240" w:lineRule="auto"/>
        <w:ind w:left="810" w:hanging="450"/>
        <w:jc w:val="both"/>
        <w:rPr>
          <w:rFonts w:ascii="Century Schoolbook" w:hAnsi="Century Schoolbook" w:cs="Times New Roman"/>
          <w:sz w:val="24"/>
          <w:szCs w:val="24"/>
        </w:rPr>
      </w:pPr>
      <w:r>
        <w:rPr>
          <w:rFonts w:ascii="Century Schoolbook" w:hAnsi="Century Schoolbook" w:cs="Times New Roman"/>
          <w:sz w:val="24"/>
          <w:szCs w:val="24"/>
        </w:rPr>
        <w:t xml:space="preserve">r. </w:t>
      </w:r>
      <w:r w:rsidR="000C42FF">
        <w:rPr>
          <w:rFonts w:ascii="Century Schoolbook" w:hAnsi="Century Schoolbook" w:cs="Times New Roman"/>
          <w:sz w:val="24"/>
          <w:szCs w:val="24"/>
        </w:rPr>
        <w:tab/>
      </w:r>
      <w:r w:rsidR="001C7257" w:rsidRPr="00C53A3E">
        <w:rPr>
          <w:rFonts w:ascii="Century Schoolbook" w:hAnsi="Century Schoolbook" w:cs="Times New Roman"/>
          <w:sz w:val="24"/>
          <w:szCs w:val="24"/>
        </w:rPr>
        <w:t xml:space="preserve">Principal Attorney Bill </w:t>
      </w:r>
      <w:proofErr w:type="spellStart"/>
      <w:r w:rsidR="001C7257" w:rsidRPr="00C53A3E">
        <w:rPr>
          <w:rFonts w:ascii="Century Schoolbook" w:hAnsi="Century Schoolbook" w:cs="Times New Roman"/>
          <w:sz w:val="24"/>
          <w:szCs w:val="24"/>
        </w:rPr>
        <w:t>Vallee</w:t>
      </w:r>
      <w:proofErr w:type="spellEnd"/>
      <w:r w:rsidR="00F16170" w:rsidRPr="00C53A3E">
        <w:rPr>
          <w:rFonts w:ascii="Century Schoolbook" w:hAnsi="Century Schoolbook" w:cs="Times New Roman"/>
          <w:sz w:val="24"/>
          <w:szCs w:val="24"/>
        </w:rPr>
        <w:t>, state Broadband Policy Coordinator since 2008, retired as of 8/30/19, served</w:t>
      </w:r>
      <w:r w:rsidR="001C7257" w:rsidRPr="00C53A3E">
        <w:rPr>
          <w:rFonts w:ascii="Century Schoolbook" w:hAnsi="Century Schoolbook" w:cs="Times New Roman"/>
          <w:sz w:val="24"/>
          <w:szCs w:val="24"/>
        </w:rPr>
        <w:t xml:space="preserve"> </w:t>
      </w:r>
      <w:r w:rsidR="00F16170" w:rsidRPr="00C53A3E">
        <w:rPr>
          <w:rFonts w:ascii="Century Schoolbook" w:hAnsi="Century Schoolbook" w:cs="Times New Roman"/>
          <w:sz w:val="24"/>
          <w:szCs w:val="24"/>
        </w:rPr>
        <w:t>a</w:t>
      </w:r>
      <w:r w:rsidR="001C7257" w:rsidRPr="00C53A3E">
        <w:rPr>
          <w:rFonts w:ascii="Century Schoolbook" w:hAnsi="Century Schoolbook" w:cs="Times New Roman"/>
          <w:sz w:val="24"/>
          <w:szCs w:val="24"/>
        </w:rPr>
        <w:t>s a board member of the Public Safety Broadband Working Group within the CT Department of Emergency Services and Public Protection (DESPP), which is tasked as liaison with the governor’s office and the First Responder N</w:t>
      </w:r>
      <w:r w:rsidR="00B540B3" w:rsidRPr="00C53A3E">
        <w:rPr>
          <w:rFonts w:ascii="Century Schoolbook" w:hAnsi="Century Schoolbook" w:cs="Times New Roman"/>
          <w:sz w:val="24"/>
          <w:szCs w:val="24"/>
        </w:rPr>
        <w:t>etwork Authority (</w:t>
      </w:r>
      <w:proofErr w:type="spellStart"/>
      <w:r w:rsidR="00B540B3" w:rsidRPr="00C53A3E">
        <w:rPr>
          <w:rFonts w:ascii="Century Schoolbook" w:hAnsi="Century Schoolbook" w:cs="Times New Roman"/>
          <w:sz w:val="24"/>
          <w:szCs w:val="24"/>
        </w:rPr>
        <w:t>FirstNet</w:t>
      </w:r>
      <w:proofErr w:type="spellEnd"/>
      <w:r w:rsidR="00B540B3" w:rsidRPr="00C53A3E">
        <w:rPr>
          <w:rFonts w:ascii="Century Schoolbook" w:hAnsi="Century Schoolbook" w:cs="Times New Roman"/>
          <w:sz w:val="24"/>
          <w:szCs w:val="24"/>
        </w:rPr>
        <w:t>), an</w:t>
      </w:r>
      <w:r w:rsidR="00680CED" w:rsidRPr="00C53A3E">
        <w:rPr>
          <w:rFonts w:ascii="Century Schoolbook" w:hAnsi="Century Schoolbook" w:cs="Times New Roman"/>
          <w:sz w:val="24"/>
          <w:szCs w:val="24"/>
        </w:rPr>
        <w:t xml:space="preserve"> </w:t>
      </w:r>
      <w:r w:rsidR="001C7257" w:rsidRPr="00C53A3E">
        <w:rPr>
          <w:rFonts w:ascii="Century Schoolbook" w:hAnsi="Century Schoolbook" w:cs="Times New Roman"/>
          <w:sz w:val="24"/>
          <w:szCs w:val="24"/>
        </w:rPr>
        <w:t xml:space="preserve">independent authority within NTIA to provide emergency responders with the first nationwide, high-speed, broadband network dedicated to public safety. This year saw the board structure the governor’s response on behalf of the state by joining the </w:t>
      </w:r>
      <w:proofErr w:type="spellStart"/>
      <w:r w:rsidR="001C7257" w:rsidRPr="00C53A3E">
        <w:rPr>
          <w:rFonts w:ascii="Century Schoolbook" w:hAnsi="Century Schoolbook" w:cs="Times New Roman"/>
          <w:sz w:val="24"/>
          <w:szCs w:val="24"/>
        </w:rPr>
        <w:t>FirstNet</w:t>
      </w:r>
      <w:proofErr w:type="spellEnd"/>
      <w:r w:rsidR="001C7257" w:rsidRPr="00C53A3E">
        <w:rPr>
          <w:rFonts w:ascii="Century Schoolbook" w:hAnsi="Century Schoolbook" w:cs="Times New Roman"/>
          <w:sz w:val="24"/>
          <w:szCs w:val="24"/>
        </w:rPr>
        <w:t xml:space="preserve"> program and negotiating a 30-year contract with AT&amp;T for services.</w:t>
      </w:r>
      <w:r w:rsidR="00E43FC6" w:rsidRPr="00C53A3E">
        <w:rPr>
          <w:rFonts w:ascii="Century Schoolbook" w:hAnsi="Century Schoolbook" w:cs="Times New Roman"/>
          <w:sz w:val="24"/>
          <w:szCs w:val="24"/>
        </w:rPr>
        <w:t xml:space="preserve">  </w:t>
      </w:r>
    </w:p>
    <w:p w14:paraId="6826560A" w14:textId="77777777" w:rsidR="00171BAF" w:rsidRPr="00134E90" w:rsidRDefault="00171BAF" w:rsidP="0072185A">
      <w:pPr>
        <w:autoSpaceDE w:val="0"/>
        <w:autoSpaceDN w:val="0"/>
        <w:adjustRightInd w:val="0"/>
        <w:spacing w:after="0" w:line="240" w:lineRule="auto"/>
        <w:jc w:val="both"/>
        <w:rPr>
          <w:rFonts w:ascii="Century Schoolbook" w:hAnsi="Century Schoolbook" w:cs="Times New Roman"/>
          <w:sz w:val="24"/>
          <w:szCs w:val="24"/>
          <w:u w:val="single"/>
        </w:rPr>
      </w:pPr>
    </w:p>
    <w:p w14:paraId="21BFB080" w14:textId="3F119CF7" w:rsidR="00F564E6" w:rsidRPr="00C53A3E" w:rsidRDefault="0072185A" w:rsidP="000C42FF">
      <w:pPr>
        <w:pStyle w:val="Default"/>
        <w:numPr>
          <w:ilvl w:val="1"/>
          <w:numId w:val="20"/>
        </w:numPr>
        <w:adjustRightInd/>
        <w:ind w:left="810" w:hanging="450"/>
        <w:jc w:val="both"/>
        <w:rPr>
          <w:rFonts w:ascii="Century Schoolbook" w:hAnsi="Century Schoolbook"/>
          <w:sz w:val="22"/>
          <w:szCs w:val="22"/>
        </w:rPr>
      </w:pPr>
      <w:r>
        <w:rPr>
          <w:rFonts w:ascii="Century Schoolbook" w:hAnsi="Century Schoolbook"/>
        </w:rPr>
        <w:t>OCC Associate Rate Specialist</w:t>
      </w:r>
      <w:r w:rsidR="00F564E6" w:rsidRPr="00C53A3E">
        <w:rPr>
          <w:rFonts w:ascii="Century Schoolbook" w:hAnsi="Century Schoolbook"/>
        </w:rPr>
        <w:t xml:space="preserve"> Taren O’Connor has continued in her role as Vice-Chairperson on the state’s Low Income Energy Advisory Board (“LIEAB”), which helps in the planning, development and implementation of energy-assistance programs, and low-income weatherization programs and policies.  The LIEAB worked to craft the Connecticut Energy Affordability Policy Initiative for Low-Income Households as well as the 2018/2019 LIEAB Recommendations.  The Board specifically focused on how to best design and implement the Utility Companies’</w:t>
      </w:r>
      <w:r w:rsidR="00061580" w:rsidRPr="00C53A3E">
        <w:rPr>
          <w:rFonts w:ascii="Century Schoolbook" w:hAnsi="Century Schoolbook"/>
        </w:rPr>
        <w:t> low</w:t>
      </w:r>
      <w:r w:rsidR="00F564E6" w:rsidRPr="00C53A3E">
        <w:rPr>
          <w:rFonts w:ascii="Century Schoolbook" w:hAnsi="Century Schoolbook"/>
        </w:rPr>
        <w:t xml:space="preserve">-income programs to best assist customers and ultimately lessen the significant </w:t>
      </w:r>
      <w:proofErr w:type="spellStart"/>
      <w:r w:rsidR="00F564E6" w:rsidRPr="00C53A3E">
        <w:rPr>
          <w:rFonts w:ascii="Century Schoolbook" w:hAnsi="Century Schoolbook"/>
        </w:rPr>
        <w:t>uncollectibles</w:t>
      </w:r>
      <w:proofErr w:type="spellEnd"/>
      <w:r w:rsidR="00F564E6" w:rsidRPr="00C53A3E">
        <w:rPr>
          <w:rFonts w:ascii="Century Schoolbook" w:hAnsi="Century Schoolbook"/>
        </w:rPr>
        <w:t xml:space="preserve"> problem in Connecticut</w:t>
      </w:r>
      <w:r w:rsidR="00F564E6" w:rsidRPr="00C53A3E">
        <w:rPr>
          <w:rFonts w:ascii="Century Schoolbook" w:hAnsi="Century Schoolbook"/>
          <w:sz w:val="22"/>
          <w:szCs w:val="22"/>
        </w:rPr>
        <w:t>.</w:t>
      </w:r>
    </w:p>
    <w:p w14:paraId="51E2E36F" w14:textId="77777777" w:rsidR="00F564E6" w:rsidRDefault="00F564E6" w:rsidP="000C42FF">
      <w:pPr>
        <w:pStyle w:val="Default"/>
        <w:ind w:left="810" w:hanging="450"/>
        <w:jc w:val="both"/>
        <w:rPr>
          <w:rFonts w:ascii="Century Schoolbook" w:hAnsi="Century Schoolbook"/>
        </w:rPr>
      </w:pPr>
    </w:p>
    <w:p w14:paraId="083BF75D" w14:textId="0A326509" w:rsidR="00F564E6" w:rsidRDefault="00F564E6" w:rsidP="0072185A">
      <w:pPr>
        <w:pStyle w:val="Default"/>
        <w:numPr>
          <w:ilvl w:val="1"/>
          <w:numId w:val="20"/>
        </w:numPr>
        <w:adjustRightInd/>
        <w:ind w:left="810" w:hanging="450"/>
        <w:jc w:val="both"/>
        <w:rPr>
          <w:rFonts w:ascii="Century Schoolbook" w:hAnsi="Century Schoolbook"/>
        </w:rPr>
      </w:pPr>
      <w:r>
        <w:rPr>
          <w:rFonts w:ascii="Century Schoolbook" w:hAnsi="Century Schoolbook"/>
        </w:rPr>
        <w:t>OCC</w:t>
      </w:r>
      <w:r w:rsidR="00C53A3E">
        <w:rPr>
          <w:rFonts w:ascii="Century Schoolbook" w:hAnsi="Century Schoolbook"/>
        </w:rPr>
        <w:t xml:space="preserve"> </w:t>
      </w:r>
      <w:r w:rsidR="0072185A">
        <w:rPr>
          <w:rFonts w:ascii="Century Schoolbook" w:hAnsi="Century Schoolbook"/>
        </w:rPr>
        <w:t>Associate Rate Specialist Taren O’Connor</w:t>
      </w:r>
      <w:r w:rsidR="0072185A" w:rsidRPr="0072185A">
        <w:rPr>
          <w:rFonts w:ascii="Century Schoolbook" w:hAnsi="Century Schoolbook"/>
        </w:rPr>
        <w:t xml:space="preserve"> has continued her role</w:t>
      </w:r>
      <w:r w:rsidRPr="0072185A">
        <w:rPr>
          <w:rFonts w:ascii="Century Schoolbook" w:hAnsi="Century Schoolbook"/>
        </w:rPr>
        <w:t xml:space="preserve"> on the state’s Energy </w:t>
      </w:r>
      <w:r w:rsidR="0072185A" w:rsidRPr="0072185A">
        <w:rPr>
          <w:rFonts w:ascii="Century Schoolbook" w:hAnsi="Century Schoolbook"/>
        </w:rPr>
        <w:t>Efficiency Board (“EEB”) in 2018-2019,</w:t>
      </w:r>
      <w:r w:rsidRPr="0072185A">
        <w:rPr>
          <w:rFonts w:ascii="Century Schoolbook" w:hAnsi="Century Schoolbook"/>
        </w:rPr>
        <w:t xml:space="preserve"> as the Board’s Chairperson, serving as Consumer Counsel Katz</w:t>
      </w:r>
      <w:r w:rsidR="0072185A" w:rsidRPr="0072185A">
        <w:rPr>
          <w:rFonts w:ascii="Century Schoolbook" w:hAnsi="Century Schoolbook"/>
        </w:rPr>
        <w:t>’s designee. </w:t>
      </w:r>
      <w:r w:rsidRPr="0072185A">
        <w:rPr>
          <w:rFonts w:ascii="Century Schoolbook" w:hAnsi="Century Schoolbook"/>
        </w:rPr>
        <w:t xml:space="preserve">The EEB serves Connecticut ratepayers through the programs it offers that act as a first line </w:t>
      </w:r>
      <w:r w:rsidRPr="0072185A">
        <w:rPr>
          <w:rFonts w:ascii="Century Schoolbook" w:hAnsi="Century Schoolbook"/>
        </w:rPr>
        <w:lastRenderedPageBreak/>
        <w:t>of defense against high winter energy prices.  The programs service residential consumers, businesses, government agencies, institutions such as schools and hospitals, and Connecticut communities, by educating consumers, offering financial incentives along with technical and installation assistance, and providing energy resources at lower costs.  Ms. O’Connor also serves as the Chair of the EEB’s Evaluation Committee and as a member of the Executive, Residential and Consultant Committees.</w:t>
      </w:r>
    </w:p>
    <w:p w14:paraId="2C83BDE2" w14:textId="77777777" w:rsidR="00253D13" w:rsidRDefault="00253D13" w:rsidP="00253D13">
      <w:pPr>
        <w:pStyle w:val="ListParagraph"/>
        <w:rPr>
          <w:rFonts w:ascii="Century Schoolbook" w:hAnsi="Century Schoolbook"/>
        </w:rPr>
      </w:pPr>
    </w:p>
    <w:p w14:paraId="551841D8" w14:textId="3F0CDDA9" w:rsidR="00253D13" w:rsidRPr="00253D13" w:rsidRDefault="00253D13" w:rsidP="00253D13">
      <w:pPr>
        <w:pStyle w:val="Default"/>
        <w:numPr>
          <w:ilvl w:val="1"/>
          <w:numId w:val="20"/>
        </w:numPr>
        <w:adjustRightInd/>
        <w:ind w:left="810" w:hanging="450"/>
        <w:jc w:val="both"/>
        <w:rPr>
          <w:rFonts w:ascii="Century Schoolbook" w:hAnsi="Century Schoolbook"/>
        </w:rPr>
      </w:pPr>
      <w:r>
        <w:rPr>
          <w:rFonts w:ascii="Century Schoolbook" w:hAnsi="Century Schoolbook"/>
        </w:rPr>
        <w:t>OCC Associate Rate Specialist Taren O’Connor began work on the national NASEO-NARUC Grid Interactive Efficient Buildings (GEB) Working Group, along with thirteen other states.</w:t>
      </w:r>
    </w:p>
    <w:p w14:paraId="7F8D5CAF" w14:textId="77777777" w:rsidR="00F564E6" w:rsidRDefault="00F564E6" w:rsidP="00B660F4">
      <w:pPr>
        <w:pStyle w:val="Default"/>
        <w:ind w:left="810" w:firstLine="540"/>
        <w:jc w:val="both"/>
        <w:rPr>
          <w:rFonts w:ascii="Century Schoolbook" w:hAnsi="Century Schoolbook"/>
        </w:rPr>
      </w:pPr>
    </w:p>
    <w:p w14:paraId="6D29A4BA" w14:textId="17F165C2" w:rsidR="00F564E6" w:rsidRPr="00342533" w:rsidRDefault="00F564E6" w:rsidP="00402F25">
      <w:pPr>
        <w:pStyle w:val="Default"/>
        <w:numPr>
          <w:ilvl w:val="1"/>
          <w:numId w:val="20"/>
        </w:numPr>
        <w:adjustRightInd/>
        <w:ind w:left="810" w:hanging="450"/>
        <w:jc w:val="both"/>
        <w:rPr>
          <w:rFonts w:ascii="Century Schoolbook" w:hAnsi="Century Schoolbook"/>
        </w:rPr>
      </w:pPr>
      <w:r w:rsidRPr="00342533">
        <w:rPr>
          <w:rFonts w:ascii="Century Schoolbook" w:hAnsi="Century Schoolbook"/>
        </w:rPr>
        <w:t>In addition to contributing to policy decisions on program design and allocation of resource</w:t>
      </w:r>
      <w:r w:rsidR="0072185A">
        <w:rPr>
          <w:rFonts w:ascii="Century Schoolbook" w:hAnsi="Century Schoolbook"/>
        </w:rPr>
        <w:t>s, OCC worked to advise the 2019</w:t>
      </w:r>
      <w:r w:rsidRPr="00342533">
        <w:rPr>
          <w:rFonts w:ascii="Century Schoolbook" w:hAnsi="Century Schoolbook"/>
        </w:rPr>
        <w:t xml:space="preserve"> Conservation and Load Management (“C&amp;LM”) Plan Update. OCC continued its advocacy for an appropriate funding level for both program evaluations and performance management incentives (“PMI”) for the utility companies and for an independent and transparent evaluation process.  With a focus on cost-effectiveness testing design, OCC is eager to participate in the design of the next three-year 2019-2021 C&amp;LM Plan.</w:t>
      </w:r>
    </w:p>
    <w:p w14:paraId="38A2D77C" w14:textId="77777777" w:rsidR="00F95843" w:rsidRPr="00F95843" w:rsidRDefault="00F95843" w:rsidP="0072185A">
      <w:pPr>
        <w:pStyle w:val="Default"/>
        <w:adjustRightInd/>
        <w:jc w:val="both"/>
        <w:rPr>
          <w:rFonts w:ascii="Century Schoolbook" w:hAnsi="Century Schoolbook"/>
        </w:rPr>
      </w:pPr>
    </w:p>
    <w:p w14:paraId="5A3189F6" w14:textId="12814D0B" w:rsidR="00342533" w:rsidRPr="00F95843" w:rsidRDefault="00046529" w:rsidP="00402F25">
      <w:pPr>
        <w:pStyle w:val="Default"/>
        <w:numPr>
          <w:ilvl w:val="1"/>
          <w:numId w:val="20"/>
        </w:numPr>
        <w:adjustRightInd/>
        <w:ind w:left="810" w:hanging="450"/>
        <w:jc w:val="both"/>
        <w:rPr>
          <w:rFonts w:ascii="Century Schoolbook" w:hAnsi="Century Schoolbook"/>
        </w:rPr>
      </w:pPr>
      <w:r>
        <w:rPr>
          <w:rFonts w:ascii="Century Schoolbook" w:hAnsi="Century Schoolbook"/>
        </w:rPr>
        <w:t>J</w:t>
      </w:r>
      <w:r w:rsidR="00342533">
        <w:rPr>
          <w:rFonts w:ascii="Century Schoolbook" w:hAnsi="Century Schoolbook"/>
        </w:rPr>
        <w:t xml:space="preserve">oseph Rosenthal, </w:t>
      </w:r>
      <w:r w:rsidR="00294283" w:rsidRPr="00294283">
        <w:rPr>
          <w:rFonts w:ascii="Century Schoolbook" w:hAnsi="Century Schoolbook"/>
        </w:rPr>
        <w:t>a Principal Attorney for OCC, continued to be on the Coordinating Committee for the Consumer Liaison Group (“CLG”), a New England-wide entity which hosts public forums on a quarterly basis to consider significant topics affecting electricity consumers, with a particular focus on high-use commercial and industrial customers.  Being involved with CLG is part of OCC’s effort to work with stakeholders to try to reduce electricity prices, promote electric reliability, and promote fair and effective electric rate policies.</w:t>
      </w:r>
    </w:p>
    <w:p w14:paraId="39867B02" w14:textId="77777777" w:rsidR="00342533" w:rsidRDefault="00342533" w:rsidP="00402F25">
      <w:pPr>
        <w:pStyle w:val="Default"/>
        <w:adjustRightInd/>
        <w:ind w:left="810" w:hanging="450"/>
        <w:jc w:val="both"/>
        <w:rPr>
          <w:rFonts w:ascii="Century Schoolbook" w:hAnsi="Century Schoolbook"/>
        </w:rPr>
      </w:pPr>
    </w:p>
    <w:p w14:paraId="7729D0FE" w14:textId="7F5D0F79" w:rsidR="00FF0CD1" w:rsidRDefault="00621AFC" w:rsidP="00402F25">
      <w:pPr>
        <w:pStyle w:val="Default"/>
        <w:numPr>
          <w:ilvl w:val="1"/>
          <w:numId w:val="20"/>
        </w:numPr>
        <w:tabs>
          <w:tab w:val="left" w:pos="1170"/>
        </w:tabs>
        <w:adjustRightInd/>
        <w:ind w:left="810" w:hanging="450"/>
        <w:jc w:val="both"/>
        <w:rPr>
          <w:rFonts w:ascii="Century Schoolbook" w:hAnsi="Century Schoolbook"/>
        </w:rPr>
      </w:pPr>
      <w:r>
        <w:rPr>
          <w:rFonts w:ascii="Century Schoolbook" w:hAnsi="Century Schoolbook"/>
        </w:rPr>
        <w:t xml:space="preserve">Former </w:t>
      </w:r>
      <w:r w:rsidR="00294283">
        <w:rPr>
          <w:rFonts w:ascii="Century Schoolbook" w:hAnsi="Century Schoolbook"/>
        </w:rPr>
        <w:t xml:space="preserve">Consumer Counsel, Katz, </w:t>
      </w:r>
      <w:r w:rsidR="00294283" w:rsidRPr="00294283">
        <w:rPr>
          <w:rFonts w:ascii="Century Schoolbook" w:hAnsi="Century Schoolbook"/>
        </w:rPr>
        <w:t xml:space="preserve">Dave Thompson, and Joe Rosenthal were the active OCC personnel who were involved with the discussions among regional electric stakeholders called the New England Power Pool (“NEPOOL”).  NEPOOL meetings are often attended by nearly 100 representatives of various electric industry participants, including utilities (privately-owned and publicly-owned), power plant owners (renewable, fossil, and nuclear), demand response developers, retail suppliers, heavy industrial users, and parties that serve the public interest (like OCC).  OCC is the sole Connecticut agency that is a voting member of NEPOOL, which functions almost as a quasi-legislature, with proposals, votes, coalitions, and the like.  The recommendations of NEPOOL stakeholders do not generally bind the grid operator, ISO New England, but more often than not, the views </w:t>
      </w:r>
      <w:r w:rsidR="00294283" w:rsidRPr="00294283">
        <w:rPr>
          <w:rFonts w:ascii="Century Schoolbook" w:hAnsi="Century Schoolbook"/>
        </w:rPr>
        <w:lastRenderedPageBreak/>
        <w:t>of a clear majority of NEPOOL stakeholders usually hold sway in the region or at FERC.</w:t>
      </w:r>
      <w:r w:rsidR="003B272A">
        <w:rPr>
          <w:rFonts w:ascii="Century Schoolbook" w:hAnsi="Century Schoolbook"/>
        </w:rPr>
        <w:t xml:space="preserve"> </w:t>
      </w:r>
    </w:p>
    <w:p w14:paraId="1A43953D" w14:textId="77777777" w:rsidR="00294283" w:rsidRPr="00F95843" w:rsidRDefault="00294283" w:rsidP="00B660F4">
      <w:pPr>
        <w:pStyle w:val="Default"/>
        <w:adjustRightInd/>
        <w:ind w:left="810" w:firstLine="540"/>
        <w:jc w:val="both"/>
        <w:rPr>
          <w:rFonts w:ascii="Century Schoolbook" w:hAnsi="Century Schoolbook"/>
        </w:rPr>
      </w:pPr>
      <w:r>
        <w:rPr>
          <w:rFonts w:ascii="Century Schoolbook" w:hAnsi="Century Schoolbook"/>
        </w:rPr>
        <w:t xml:space="preserve">                     </w:t>
      </w:r>
      <w:r w:rsidRPr="00294283">
        <w:rPr>
          <w:rFonts w:ascii="Century Schoolbook" w:hAnsi="Century Schoolbook"/>
        </w:rPr>
        <w:tab/>
      </w:r>
    </w:p>
    <w:p w14:paraId="622E72EF" w14:textId="787E240E" w:rsidR="00F95843" w:rsidRDefault="00F95843" w:rsidP="00402F25">
      <w:pPr>
        <w:pStyle w:val="Default"/>
        <w:numPr>
          <w:ilvl w:val="1"/>
          <w:numId w:val="20"/>
        </w:numPr>
        <w:adjustRightInd/>
        <w:ind w:left="810" w:hanging="450"/>
        <w:jc w:val="both"/>
        <w:rPr>
          <w:rFonts w:ascii="Century Schoolbook" w:hAnsi="Century Schoolbook"/>
        </w:rPr>
      </w:pPr>
      <w:r>
        <w:rPr>
          <w:rFonts w:ascii="Century Schoolbook" w:hAnsi="Century Schoolbook"/>
        </w:rPr>
        <w:t>During this fiscal year,</w:t>
      </w:r>
      <w:r w:rsidRPr="00294283">
        <w:rPr>
          <w:rFonts w:ascii="Century Schoolbook" w:hAnsi="Century Schoolbook"/>
        </w:rPr>
        <w:t xml:space="preserve"> various OCC staff participated in panel discussions of an organization called the Critical Consumer Issues Forum (“CCIF”), of which Consumer Counsel Katz is on the Advisory Committee.  The focus of this year’s discussions was on “Connecting Communities: Smart Cities, Enabling Technologies, and the Grid,” including how electric infrastructure and electric technology can promote improved transportation systems, the efficient use of power, electric reliability, and environmental sustainability.</w:t>
      </w:r>
    </w:p>
    <w:p w14:paraId="2AFC1976" w14:textId="77777777" w:rsidR="00F95843" w:rsidRPr="00294283" w:rsidRDefault="00F95843" w:rsidP="00402F25">
      <w:pPr>
        <w:pStyle w:val="ListParagraph"/>
        <w:ind w:left="810" w:hanging="450"/>
        <w:rPr>
          <w:rFonts w:ascii="Century Schoolbook" w:hAnsi="Century Schoolbook" w:cs="Times New Roman"/>
          <w:color w:val="000000"/>
          <w:sz w:val="24"/>
          <w:szCs w:val="24"/>
        </w:rPr>
      </w:pPr>
    </w:p>
    <w:p w14:paraId="24698728" w14:textId="77777777" w:rsidR="00A91917" w:rsidRPr="008342B5" w:rsidRDefault="00A91917" w:rsidP="00171BAF">
      <w:pPr>
        <w:numPr>
          <w:ilvl w:val="0"/>
          <w:numId w:val="5"/>
        </w:numPr>
        <w:autoSpaceDE w:val="0"/>
        <w:autoSpaceDN w:val="0"/>
        <w:adjustRightInd w:val="0"/>
        <w:spacing w:after="0" w:line="240" w:lineRule="auto"/>
        <w:ind w:left="360"/>
        <w:jc w:val="both"/>
        <w:rPr>
          <w:rFonts w:ascii="Century Schoolbook" w:hAnsi="Century Schoolbook" w:cs="Times New Roman"/>
          <w:color w:val="000000"/>
          <w:sz w:val="24"/>
          <w:szCs w:val="24"/>
        </w:rPr>
      </w:pPr>
      <w:r>
        <w:rPr>
          <w:rFonts w:ascii="Century Schoolbook" w:hAnsi="Century Schoolbook" w:cs="Times New Roman"/>
          <w:b/>
          <w:color w:val="000000"/>
          <w:sz w:val="24"/>
          <w:szCs w:val="24"/>
          <w:u w:val="single"/>
        </w:rPr>
        <w:t>Conferences</w:t>
      </w:r>
    </w:p>
    <w:p w14:paraId="7F72C159" w14:textId="77777777" w:rsidR="00077A46" w:rsidRPr="008342B5" w:rsidRDefault="00077A46" w:rsidP="008342B5">
      <w:pPr>
        <w:autoSpaceDE w:val="0"/>
        <w:autoSpaceDN w:val="0"/>
        <w:adjustRightInd w:val="0"/>
        <w:spacing w:after="0" w:line="240" w:lineRule="auto"/>
        <w:jc w:val="both"/>
        <w:rPr>
          <w:rFonts w:ascii="Century Schoolbook" w:hAnsi="Century Schoolbook" w:cs="Times New Roman"/>
          <w:color w:val="000000"/>
          <w:sz w:val="24"/>
          <w:szCs w:val="24"/>
        </w:rPr>
      </w:pPr>
    </w:p>
    <w:p w14:paraId="253D9B70" w14:textId="77777777" w:rsidR="0076269C" w:rsidRDefault="0076269C"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Pr>
          <w:rFonts w:ascii="Century Schoolbook" w:hAnsi="Century Schoolbook" w:cs="Times New Roman"/>
          <w:color w:val="000000"/>
          <w:sz w:val="24"/>
          <w:szCs w:val="24"/>
        </w:rPr>
        <w:t>On</w:t>
      </w:r>
      <w:r w:rsidRPr="00FF0CD1">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June 14</w:t>
      </w:r>
      <w:r w:rsidRPr="00FF0CD1">
        <w:rPr>
          <w:rFonts w:ascii="Century Schoolbook" w:hAnsi="Century Schoolbook" w:cs="Times New Roman"/>
          <w:color w:val="000000"/>
          <w:sz w:val="24"/>
          <w:szCs w:val="24"/>
        </w:rPr>
        <w:t>,</w:t>
      </w:r>
      <w:r>
        <w:rPr>
          <w:rFonts w:ascii="Century Schoolbook" w:hAnsi="Century Schoolbook" w:cs="Times New Roman"/>
          <w:color w:val="000000"/>
          <w:sz w:val="24"/>
          <w:szCs w:val="24"/>
        </w:rPr>
        <w:t xml:space="preserve"> 2019,</w:t>
      </w:r>
      <w:r w:rsidRPr="00FF0CD1">
        <w:rPr>
          <w:rFonts w:ascii="Century Schoolbook" w:hAnsi="Century Schoolbook" w:cs="Times New Roman"/>
          <w:color w:val="000000"/>
          <w:sz w:val="24"/>
          <w:szCs w:val="24"/>
        </w:rPr>
        <w:t xml:space="preserve"> OCC Consumer Counsel and </w:t>
      </w:r>
      <w:r>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spoke at a meeting of the FCC Bar Association in Boston on broadband issues affecting Connecticut consumers and municipalities</w:t>
      </w:r>
      <w:r w:rsidRPr="00FF0CD1">
        <w:rPr>
          <w:rFonts w:ascii="Century Schoolbook" w:hAnsi="Century Schoolbook" w:cs="Times New Roman"/>
          <w:color w:val="000000"/>
          <w:sz w:val="24"/>
          <w:szCs w:val="24"/>
        </w:rPr>
        <w:t>.</w:t>
      </w:r>
    </w:p>
    <w:p w14:paraId="26E76B1B" w14:textId="77777777" w:rsidR="00077A46" w:rsidRPr="00077A46" w:rsidRDefault="00077A46" w:rsidP="00706A79">
      <w:pPr>
        <w:autoSpaceDE w:val="0"/>
        <w:autoSpaceDN w:val="0"/>
        <w:adjustRightInd w:val="0"/>
        <w:spacing w:after="0" w:line="240" w:lineRule="auto"/>
        <w:ind w:left="810" w:hanging="360"/>
        <w:jc w:val="both"/>
        <w:rPr>
          <w:rFonts w:ascii="Century Schoolbook" w:hAnsi="Century Schoolbook" w:cs="Times New Roman"/>
          <w:color w:val="000000"/>
          <w:sz w:val="24"/>
          <w:szCs w:val="24"/>
        </w:rPr>
      </w:pPr>
    </w:p>
    <w:p w14:paraId="4DF9F9B1" w14:textId="7CE715F6" w:rsidR="0076269C" w:rsidRDefault="0076269C"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On May</w:t>
      </w:r>
      <w:r w:rsidR="0017585A">
        <w:rPr>
          <w:rFonts w:ascii="Century Schoolbook" w:hAnsi="Century Schoolbook" w:cs="Times New Roman"/>
          <w:color w:val="000000"/>
          <w:sz w:val="24"/>
          <w:szCs w:val="24"/>
        </w:rPr>
        <w:t xml:space="preserve"> 29, 2019</w:t>
      </w:r>
      <w:r w:rsidRPr="00FF0CD1">
        <w:rPr>
          <w:rFonts w:ascii="Century Schoolbook" w:hAnsi="Century Schoolbook" w:cs="Times New Roman"/>
          <w:color w:val="000000"/>
          <w:sz w:val="24"/>
          <w:szCs w:val="24"/>
        </w:rPr>
        <w:t xml:space="preserve">, OCC Principal Attorney Joseph Rosenthal gave a presentation at a EUCI Conference in </w:t>
      </w:r>
      <w:r w:rsidR="0017585A">
        <w:rPr>
          <w:rFonts w:ascii="Century Schoolbook" w:hAnsi="Century Schoolbook" w:cs="Times New Roman"/>
          <w:color w:val="000000"/>
          <w:sz w:val="24"/>
          <w:szCs w:val="24"/>
        </w:rPr>
        <w:t xml:space="preserve">New Orleans, LA, </w:t>
      </w:r>
      <w:r w:rsidRPr="00FF0CD1">
        <w:rPr>
          <w:rFonts w:ascii="Century Schoolbook" w:hAnsi="Century Schoolbook" w:cs="Times New Roman"/>
          <w:color w:val="000000"/>
          <w:sz w:val="24"/>
          <w:szCs w:val="24"/>
        </w:rPr>
        <w:t>on the subject of proposals to implement residential electric demand charges entitled, “Residential Demand Charges, a Look at Consumer Advocacy and Regulatory Considerations.”</w:t>
      </w:r>
    </w:p>
    <w:p w14:paraId="2F485DCA" w14:textId="77777777" w:rsidR="009D15DA" w:rsidRDefault="009D15DA" w:rsidP="009D15DA">
      <w:pPr>
        <w:pStyle w:val="ListParagraph"/>
        <w:autoSpaceDE w:val="0"/>
        <w:autoSpaceDN w:val="0"/>
        <w:adjustRightInd w:val="0"/>
        <w:spacing w:after="0" w:line="240" w:lineRule="auto"/>
        <w:ind w:left="810"/>
        <w:jc w:val="both"/>
        <w:rPr>
          <w:rFonts w:ascii="Century Schoolbook" w:hAnsi="Century Schoolbook" w:cs="Times New Roman"/>
          <w:color w:val="000000"/>
          <w:sz w:val="24"/>
          <w:szCs w:val="24"/>
        </w:rPr>
      </w:pPr>
    </w:p>
    <w:p w14:paraId="130E8671" w14:textId="64594639" w:rsidR="009D15DA" w:rsidRDefault="009D15DA"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Pr>
          <w:rFonts w:ascii="Century Schoolbook" w:hAnsi="Century Schoolbook" w:cs="Times New Roman"/>
          <w:color w:val="000000"/>
          <w:sz w:val="24"/>
          <w:szCs w:val="24"/>
        </w:rPr>
        <w:t>On May 16, 2019, Joseph Rosenthal spoke at the National Regulatory Conference in Williamsburg, VA as part of a panel presentation on electric grid modernization.</w:t>
      </w:r>
    </w:p>
    <w:p w14:paraId="700673F7" w14:textId="77777777" w:rsidR="009D15DA" w:rsidRPr="009D15DA" w:rsidRDefault="009D15DA" w:rsidP="009D15DA">
      <w:pPr>
        <w:autoSpaceDE w:val="0"/>
        <w:autoSpaceDN w:val="0"/>
        <w:adjustRightInd w:val="0"/>
        <w:spacing w:after="0" w:line="240" w:lineRule="auto"/>
        <w:jc w:val="both"/>
        <w:rPr>
          <w:rFonts w:ascii="Century Schoolbook" w:hAnsi="Century Schoolbook" w:cs="Times New Roman"/>
          <w:color w:val="000000"/>
          <w:sz w:val="24"/>
          <w:szCs w:val="24"/>
        </w:rPr>
      </w:pPr>
    </w:p>
    <w:p w14:paraId="77AF7E53" w14:textId="77777777" w:rsidR="0017585A" w:rsidRPr="00FF0CD1" w:rsidRDefault="0017585A" w:rsidP="0017585A">
      <w:pPr>
        <w:pStyle w:val="ListParagraph"/>
        <w:autoSpaceDE w:val="0"/>
        <w:autoSpaceDN w:val="0"/>
        <w:adjustRightInd w:val="0"/>
        <w:spacing w:after="0" w:line="240" w:lineRule="auto"/>
        <w:ind w:left="810"/>
        <w:jc w:val="both"/>
        <w:rPr>
          <w:rFonts w:ascii="Century Schoolbook" w:hAnsi="Century Schoolbook" w:cs="Times New Roman"/>
          <w:color w:val="000000"/>
          <w:sz w:val="24"/>
          <w:szCs w:val="24"/>
        </w:rPr>
      </w:pPr>
    </w:p>
    <w:p w14:paraId="1704A87A" w14:textId="102DEE61" w:rsidR="00077A46" w:rsidRPr="00FF0CD1" w:rsidRDefault="00077A46"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On May 1</w:t>
      </w:r>
      <w:r w:rsidR="00CB1F25">
        <w:rPr>
          <w:rFonts w:ascii="Century Schoolbook" w:hAnsi="Century Schoolbook" w:cs="Times New Roman"/>
          <w:color w:val="000000"/>
          <w:sz w:val="24"/>
          <w:szCs w:val="24"/>
        </w:rPr>
        <w:t>0</w:t>
      </w:r>
      <w:r w:rsidRPr="00FF0CD1">
        <w:rPr>
          <w:rFonts w:ascii="Century Schoolbook" w:hAnsi="Century Schoolbook" w:cs="Times New Roman"/>
          <w:color w:val="000000"/>
          <w:sz w:val="24"/>
          <w:szCs w:val="24"/>
        </w:rPr>
        <w:t>, 201</w:t>
      </w:r>
      <w:r w:rsidR="00CB1F25">
        <w:rPr>
          <w:rFonts w:ascii="Century Schoolbook" w:hAnsi="Century Schoolbook" w:cs="Times New Roman"/>
          <w:color w:val="000000"/>
          <w:sz w:val="24"/>
          <w:szCs w:val="24"/>
        </w:rPr>
        <w:t>9</w:t>
      </w:r>
      <w:r w:rsidRPr="00FF0CD1">
        <w:rPr>
          <w:rFonts w:ascii="Century Schoolbook" w:hAnsi="Century Schoolbook" w:cs="Times New Roman"/>
          <w:color w:val="000000"/>
          <w:sz w:val="24"/>
          <w:szCs w:val="24"/>
        </w:rPr>
        <w:t xml:space="preserve">, </w:t>
      </w:r>
      <w:r w:rsidR="00CB1F25">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xml:space="preserve"> participated in panel discussions at the Annual Member Conference hosted by the Connecticut Education Network (CEN) to </w:t>
      </w:r>
      <w:r w:rsidR="00CB1F25">
        <w:rPr>
          <w:rFonts w:ascii="Century Schoolbook" w:hAnsi="Century Schoolbook" w:cs="Times New Roman"/>
          <w:color w:val="000000"/>
          <w:sz w:val="24"/>
          <w:szCs w:val="24"/>
        </w:rPr>
        <w:t>detail the concept of “open access” for fiber network projects financed and owned by state municipalities</w:t>
      </w:r>
      <w:r w:rsidRPr="00FF0CD1">
        <w:rPr>
          <w:rFonts w:ascii="Century Schoolbook" w:hAnsi="Century Schoolbook" w:cs="Times New Roman"/>
          <w:color w:val="000000"/>
          <w:sz w:val="24"/>
          <w:szCs w:val="24"/>
        </w:rPr>
        <w:t xml:space="preserve">. </w:t>
      </w:r>
    </w:p>
    <w:p w14:paraId="28C0169B" w14:textId="77777777" w:rsidR="007573EE" w:rsidRDefault="007573EE"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07A2F69B" w14:textId="77777777" w:rsidR="00077A46" w:rsidRPr="00077A46" w:rsidRDefault="00077A46"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11DB517B" w14:textId="0F19C7B6" w:rsidR="00077A46" w:rsidRPr="00FF0CD1" w:rsidRDefault="00077A46"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 xml:space="preserve">On April </w:t>
      </w:r>
      <w:r w:rsidR="00CB1F25">
        <w:rPr>
          <w:rFonts w:ascii="Century Schoolbook" w:hAnsi="Century Schoolbook" w:cs="Times New Roman"/>
          <w:color w:val="000000"/>
          <w:sz w:val="24"/>
          <w:szCs w:val="24"/>
        </w:rPr>
        <w:t>7</w:t>
      </w:r>
      <w:r w:rsidRPr="00FF0CD1">
        <w:rPr>
          <w:rFonts w:ascii="Century Schoolbook" w:hAnsi="Century Schoolbook" w:cs="Times New Roman"/>
          <w:color w:val="000000"/>
          <w:sz w:val="24"/>
          <w:szCs w:val="24"/>
        </w:rPr>
        <w:t>-</w:t>
      </w:r>
      <w:r w:rsidR="00CB1F25">
        <w:rPr>
          <w:rFonts w:ascii="Century Schoolbook" w:hAnsi="Century Schoolbook" w:cs="Times New Roman"/>
          <w:color w:val="000000"/>
          <w:sz w:val="24"/>
          <w:szCs w:val="24"/>
        </w:rPr>
        <w:t>April 12</w:t>
      </w:r>
      <w:r w:rsidRPr="00FF0CD1">
        <w:rPr>
          <w:rFonts w:ascii="Century Schoolbook" w:hAnsi="Century Schoolbook" w:cs="Times New Roman"/>
          <w:color w:val="000000"/>
          <w:sz w:val="24"/>
          <w:szCs w:val="24"/>
        </w:rPr>
        <w:t>, 201</w:t>
      </w:r>
      <w:r w:rsidR="00CB1F25">
        <w:rPr>
          <w:rFonts w:ascii="Century Schoolbook" w:hAnsi="Century Schoolbook" w:cs="Times New Roman"/>
          <w:color w:val="000000"/>
          <w:sz w:val="24"/>
          <w:szCs w:val="24"/>
        </w:rPr>
        <w:t>9</w:t>
      </w:r>
      <w:r w:rsidRPr="00FF0CD1">
        <w:rPr>
          <w:rFonts w:ascii="Century Schoolbook" w:hAnsi="Century Schoolbook" w:cs="Times New Roman"/>
          <w:color w:val="000000"/>
          <w:sz w:val="24"/>
          <w:szCs w:val="24"/>
        </w:rPr>
        <w:t xml:space="preserve">, </w:t>
      </w:r>
      <w:r w:rsidR="00CB1F25">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xml:space="preserve"> was a panelist at the Broadband Communities Conference in Austin, TX, focusing on CT State Legislative challenges and opportunities for improving local affordable broadband internet access.</w:t>
      </w:r>
    </w:p>
    <w:p w14:paraId="25D1A5DD" w14:textId="77777777" w:rsidR="00077A46" w:rsidRPr="00077A46" w:rsidRDefault="00077A46"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76D4E261" w14:textId="3C061497" w:rsidR="00077A46" w:rsidRPr="00FF0CD1" w:rsidRDefault="00077A46"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 xml:space="preserve">On </w:t>
      </w:r>
      <w:r w:rsidR="00A26EAA">
        <w:rPr>
          <w:rFonts w:ascii="Century Schoolbook" w:hAnsi="Century Schoolbook" w:cs="Times New Roman"/>
          <w:color w:val="000000"/>
          <w:sz w:val="24"/>
          <w:szCs w:val="24"/>
        </w:rPr>
        <w:t>March 12-14</w:t>
      </w:r>
      <w:r w:rsidRPr="00FF0CD1">
        <w:rPr>
          <w:rFonts w:ascii="Century Schoolbook" w:hAnsi="Century Schoolbook" w:cs="Times New Roman"/>
          <w:color w:val="000000"/>
          <w:sz w:val="24"/>
          <w:szCs w:val="24"/>
        </w:rPr>
        <w:t>, 201</w:t>
      </w:r>
      <w:r w:rsidR="00A26EAA">
        <w:rPr>
          <w:rFonts w:ascii="Century Schoolbook" w:hAnsi="Century Schoolbook" w:cs="Times New Roman"/>
          <w:color w:val="000000"/>
          <w:sz w:val="24"/>
          <w:szCs w:val="24"/>
        </w:rPr>
        <w:t>9</w:t>
      </w:r>
      <w:r w:rsidRPr="00FF0CD1">
        <w:rPr>
          <w:rFonts w:ascii="Century Schoolbook" w:hAnsi="Century Schoolbook" w:cs="Times New Roman"/>
          <w:color w:val="000000"/>
          <w:sz w:val="24"/>
          <w:szCs w:val="24"/>
        </w:rPr>
        <w:t xml:space="preserve">, </w:t>
      </w:r>
      <w:r w:rsidR="00CB1F25">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xml:space="preserve"> attended a conference in NYC at the Practicing Law Institute </w:t>
      </w:r>
      <w:r w:rsidR="00A26EAA">
        <w:rPr>
          <w:rFonts w:ascii="Century Schoolbook" w:hAnsi="Century Schoolbook" w:cs="Times New Roman"/>
          <w:color w:val="000000"/>
          <w:sz w:val="24"/>
          <w:szCs w:val="24"/>
        </w:rPr>
        <w:t>with panels</w:t>
      </w:r>
      <w:r w:rsidRPr="00FF0CD1">
        <w:rPr>
          <w:rFonts w:ascii="Century Schoolbook" w:hAnsi="Century Schoolbook" w:cs="Times New Roman"/>
          <w:color w:val="000000"/>
          <w:sz w:val="24"/>
          <w:szCs w:val="24"/>
        </w:rPr>
        <w:t xml:space="preserve"> </w:t>
      </w:r>
      <w:r w:rsidR="00A26EAA">
        <w:rPr>
          <w:rFonts w:ascii="Century Schoolbook" w:hAnsi="Century Schoolbook" w:cs="Times New Roman"/>
          <w:color w:val="000000"/>
          <w:sz w:val="24"/>
          <w:szCs w:val="24"/>
        </w:rPr>
        <w:t>of</w:t>
      </w:r>
      <w:r w:rsidR="00A26EAA" w:rsidRPr="00FF0CD1">
        <w:rPr>
          <w:rFonts w:ascii="Century Schoolbook" w:hAnsi="Century Schoolbook" w:cs="Times New Roman"/>
          <w:color w:val="000000"/>
          <w:sz w:val="24"/>
          <w:szCs w:val="24"/>
        </w:rPr>
        <w:t xml:space="preserve"> </w:t>
      </w:r>
      <w:r w:rsidR="00A26EAA">
        <w:rPr>
          <w:rFonts w:ascii="Century Schoolbook" w:hAnsi="Century Schoolbook" w:cs="Times New Roman"/>
          <w:color w:val="000000"/>
          <w:sz w:val="24"/>
          <w:szCs w:val="24"/>
        </w:rPr>
        <w:t xml:space="preserve">broadband </w:t>
      </w:r>
      <w:r w:rsidR="00A26EAA">
        <w:rPr>
          <w:rFonts w:ascii="Century Schoolbook" w:hAnsi="Century Schoolbook" w:cs="Times New Roman"/>
          <w:color w:val="000000"/>
          <w:sz w:val="24"/>
          <w:szCs w:val="24"/>
        </w:rPr>
        <w:lastRenderedPageBreak/>
        <w:t xml:space="preserve">and </w:t>
      </w:r>
      <w:r w:rsidRPr="00FF0CD1">
        <w:rPr>
          <w:rFonts w:ascii="Century Schoolbook" w:hAnsi="Century Schoolbook" w:cs="Times New Roman"/>
          <w:color w:val="000000"/>
          <w:sz w:val="24"/>
          <w:szCs w:val="24"/>
        </w:rPr>
        <w:t xml:space="preserve">cable industry participants on a wide variety of consumer and broadband issues. </w:t>
      </w:r>
    </w:p>
    <w:p w14:paraId="5FFD8DEF" w14:textId="77777777" w:rsidR="00077A46" w:rsidRPr="00077A46" w:rsidRDefault="00077A46"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7B0296F9" w14:textId="77777777" w:rsidR="00077A46" w:rsidRPr="00077A46" w:rsidRDefault="00077A46"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2D66CA9D" w14:textId="11FAAD8F" w:rsidR="00077A46" w:rsidRDefault="00077A46"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On February 1</w:t>
      </w:r>
      <w:r w:rsidR="00A26EAA">
        <w:rPr>
          <w:rFonts w:ascii="Century Schoolbook" w:hAnsi="Century Schoolbook" w:cs="Times New Roman"/>
          <w:color w:val="000000"/>
          <w:sz w:val="24"/>
          <w:szCs w:val="24"/>
        </w:rPr>
        <w:t>2-13</w:t>
      </w:r>
      <w:r w:rsidRPr="00FF0CD1">
        <w:rPr>
          <w:rFonts w:ascii="Century Schoolbook" w:hAnsi="Century Schoolbook" w:cs="Times New Roman"/>
          <w:color w:val="000000"/>
          <w:sz w:val="24"/>
          <w:szCs w:val="24"/>
        </w:rPr>
        <w:t>, 201</w:t>
      </w:r>
      <w:r w:rsidR="00A26EAA">
        <w:rPr>
          <w:rFonts w:ascii="Century Schoolbook" w:hAnsi="Century Schoolbook" w:cs="Times New Roman"/>
          <w:color w:val="000000"/>
          <w:sz w:val="24"/>
          <w:szCs w:val="24"/>
        </w:rPr>
        <w:t>9</w:t>
      </w:r>
      <w:r w:rsidRPr="00FF0CD1">
        <w:rPr>
          <w:rFonts w:ascii="Century Schoolbook" w:hAnsi="Century Schoolbook" w:cs="Times New Roman"/>
          <w:color w:val="000000"/>
          <w:sz w:val="24"/>
          <w:szCs w:val="24"/>
        </w:rPr>
        <w:t xml:space="preserve">, </w:t>
      </w:r>
      <w:r w:rsidR="00CB1F25">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a member of the State Broadband Leaders Network (SBLN) within the U.S. Department of Commerce, National Telecommunications &amp; Information Administration (NTIA), met with federal agency officials (White House, USDA), the National Governors Association, and SBLN member to develop a strategy for continuing the work of the State Broadband Initiative (2009-2015) in developing broadband and fiber network solutions for federal/state cooperation.</w:t>
      </w:r>
    </w:p>
    <w:p w14:paraId="0ECC70C5" w14:textId="77777777" w:rsidR="009D15DA" w:rsidRDefault="009D15DA" w:rsidP="009D15DA">
      <w:pPr>
        <w:pStyle w:val="ListParagraph"/>
        <w:autoSpaceDE w:val="0"/>
        <w:autoSpaceDN w:val="0"/>
        <w:adjustRightInd w:val="0"/>
        <w:spacing w:after="0" w:line="240" w:lineRule="auto"/>
        <w:ind w:left="810"/>
        <w:jc w:val="both"/>
        <w:rPr>
          <w:rFonts w:ascii="Century Schoolbook" w:hAnsi="Century Schoolbook" w:cs="Times New Roman"/>
          <w:color w:val="000000"/>
          <w:sz w:val="24"/>
          <w:szCs w:val="24"/>
        </w:rPr>
      </w:pPr>
    </w:p>
    <w:p w14:paraId="4FE7E86D" w14:textId="7D45100C" w:rsidR="009D15DA" w:rsidRPr="00FF0CD1" w:rsidRDefault="009D15DA"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Pr>
          <w:rFonts w:ascii="Century Schoolbook" w:hAnsi="Century Schoolbook" w:cs="Times New Roman"/>
          <w:color w:val="000000"/>
          <w:sz w:val="24"/>
          <w:szCs w:val="24"/>
        </w:rPr>
        <w:t>On November 8, 2018, Joseph Rosenthal spoke at the Connected New England Conference in Hartford, hosted by Next Century Cities, on the subject of municipal broadband and the attempted use in Connecticut of the municipal gain space on the poles for broadband purposes.</w:t>
      </w:r>
    </w:p>
    <w:p w14:paraId="5B77C220" w14:textId="77777777" w:rsidR="00077A46" w:rsidRPr="00077A46" w:rsidRDefault="00077A46" w:rsidP="00706A79">
      <w:pPr>
        <w:autoSpaceDE w:val="0"/>
        <w:autoSpaceDN w:val="0"/>
        <w:adjustRightInd w:val="0"/>
        <w:spacing w:after="0" w:line="240" w:lineRule="auto"/>
        <w:ind w:left="810"/>
        <w:jc w:val="both"/>
        <w:rPr>
          <w:rFonts w:ascii="Century Schoolbook" w:hAnsi="Century Schoolbook" w:cs="Times New Roman"/>
          <w:color w:val="000000"/>
          <w:sz w:val="24"/>
          <w:szCs w:val="24"/>
        </w:rPr>
      </w:pPr>
    </w:p>
    <w:p w14:paraId="7E6035FA" w14:textId="77777777" w:rsidR="0076269C" w:rsidRPr="00FF0CD1" w:rsidRDefault="0076269C" w:rsidP="003F7DBA">
      <w:pPr>
        <w:pStyle w:val="ListParagraph"/>
        <w:numPr>
          <w:ilvl w:val="0"/>
          <w:numId w:val="17"/>
        </w:numPr>
        <w:autoSpaceDE w:val="0"/>
        <w:autoSpaceDN w:val="0"/>
        <w:adjustRightInd w:val="0"/>
        <w:spacing w:after="0" w:line="240" w:lineRule="auto"/>
        <w:ind w:left="810" w:hanging="540"/>
        <w:jc w:val="both"/>
        <w:rPr>
          <w:rFonts w:ascii="Century Schoolbook" w:hAnsi="Century Schoolbook" w:cs="Times New Roman"/>
          <w:color w:val="000000"/>
          <w:sz w:val="24"/>
          <w:szCs w:val="24"/>
        </w:rPr>
      </w:pPr>
      <w:r w:rsidRPr="00FF0CD1">
        <w:rPr>
          <w:rFonts w:ascii="Century Schoolbook" w:hAnsi="Century Schoolbook" w:cs="Times New Roman"/>
          <w:color w:val="000000"/>
          <w:sz w:val="24"/>
          <w:szCs w:val="24"/>
        </w:rPr>
        <w:t xml:space="preserve">On </w:t>
      </w:r>
      <w:r>
        <w:rPr>
          <w:rFonts w:ascii="Century Schoolbook" w:hAnsi="Century Schoolbook" w:cs="Times New Roman"/>
          <w:color w:val="000000"/>
          <w:sz w:val="24"/>
          <w:szCs w:val="24"/>
        </w:rPr>
        <w:t>September 26</w:t>
      </w:r>
      <w:r w:rsidRPr="00FF0CD1">
        <w:rPr>
          <w:rFonts w:ascii="Century Schoolbook" w:hAnsi="Century Schoolbook" w:cs="Times New Roman"/>
          <w:color w:val="000000"/>
          <w:sz w:val="24"/>
          <w:szCs w:val="24"/>
        </w:rPr>
        <w:t xml:space="preserve">, 2018, </w:t>
      </w:r>
      <w:r>
        <w:rPr>
          <w:rFonts w:ascii="Century Schoolbook" w:hAnsi="Century Schoolbook" w:cs="Times New Roman"/>
          <w:color w:val="000000"/>
          <w:sz w:val="24"/>
          <w:szCs w:val="24"/>
        </w:rPr>
        <w:t xml:space="preserve">Broadband Policy Coordinator </w:t>
      </w:r>
      <w:r w:rsidRPr="00FF0CD1">
        <w:rPr>
          <w:rFonts w:ascii="Century Schoolbook" w:hAnsi="Century Schoolbook" w:cs="Times New Roman"/>
          <w:color w:val="000000"/>
          <w:sz w:val="24"/>
          <w:szCs w:val="24"/>
        </w:rPr>
        <w:t xml:space="preserve">Bill </w:t>
      </w:r>
      <w:proofErr w:type="spellStart"/>
      <w:r w:rsidRPr="00FF0CD1">
        <w:rPr>
          <w:rFonts w:ascii="Century Schoolbook" w:hAnsi="Century Schoolbook" w:cs="Times New Roman"/>
          <w:color w:val="000000"/>
          <w:sz w:val="24"/>
          <w:szCs w:val="24"/>
        </w:rPr>
        <w:t>Vallee</w:t>
      </w:r>
      <w:proofErr w:type="spellEnd"/>
      <w:r w:rsidRPr="00FF0CD1">
        <w:rPr>
          <w:rFonts w:ascii="Century Schoolbook" w:hAnsi="Century Schoolbook" w:cs="Times New Roman"/>
          <w:color w:val="000000"/>
          <w:sz w:val="24"/>
          <w:szCs w:val="24"/>
        </w:rPr>
        <w:t xml:space="preserve"> hosted a meeting with a group of Yale College students focused on the use of broadband to reduce digital inequity in low income neighborhoods, as part of a year-long student program run by the Law School.</w:t>
      </w:r>
    </w:p>
    <w:p w14:paraId="5BE3DD74" w14:textId="77777777" w:rsidR="00C53A3E" w:rsidRDefault="00C53A3E" w:rsidP="00C53A3E">
      <w:pPr>
        <w:pStyle w:val="ListParagraph"/>
        <w:autoSpaceDE w:val="0"/>
        <w:autoSpaceDN w:val="0"/>
        <w:adjustRightInd w:val="0"/>
        <w:spacing w:after="0" w:line="240" w:lineRule="auto"/>
        <w:ind w:left="450"/>
        <w:jc w:val="both"/>
        <w:rPr>
          <w:rFonts w:ascii="Century Schoolbook" w:hAnsi="Century Schoolbook" w:cs="Times New Roman"/>
          <w:color w:val="000000"/>
          <w:sz w:val="24"/>
          <w:szCs w:val="24"/>
        </w:rPr>
      </w:pPr>
    </w:p>
    <w:p w14:paraId="1E79BD6F" w14:textId="70884BE0" w:rsidR="00EA03C0" w:rsidRPr="00C53A3E" w:rsidRDefault="00C53A3E" w:rsidP="003F7DBA">
      <w:pPr>
        <w:pStyle w:val="ListParagraph"/>
        <w:autoSpaceDE w:val="0"/>
        <w:autoSpaceDN w:val="0"/>
        <w:adjustRightInd w:val="0"/>
        <w:spacing w:after="0" w:line="240" w:lineRule="auto"/>
        <w:ind w:left="810" w:hanging="540"/>
        <w:jc w:val="both"/>
        <w:rPr>
          <w:rFonts w:ascii="Century Schoolbook" w:hAnsi="Century Schoolbook" w:cs="Times New Roman"/>
          <w:color w:val="000000"/>
          <w:sz w:val="24"/>
          <w:szCs w:val="24"/>
        </w:rPr>
      </w:pPr>
      <w:r>
        <w:rPr>
          <w:rFonts w:ascii="Century Schoolbook" w:hAnsi="Century Schoolbook" w:cs="Times New Roman"/>
          <w:color w:val="000000"/>
          <w:sz w:val="24"/>
          <w:szCs w:val="24"/>
        </w:rPr>
        <w:t>h.</w:t>
      </w:r>
      <w:r>
        <w:rPr>
          <w:rFonts w:ascii="Century Schoolbook" w:hAnsi="Century Schoolbook" w:cs="Times New Roman"/>
          <w:color w:val="000000"/>
          <w:sz w:val="24"/>
          <w:szCs w:val="24"/>
        </w:rPr>
        <w:tab/>
      </w:r>
      <w:r w:rsidR="00EA03C0" w:rsidRPr="00C53A3E">
        <w:rPr>
          <w:rFonts w:ascii="Century Schoolbook" w:hAnsi="Century Schoolbook" w:cs="Times New Roman"/>
          <w:color w:val="000000"/>
          <w:sz w:val="24"/>
          <w:szCs w:val="24"/>
        </w:rPr>
        <w:t>On April 15</w:t>
      </w:r>
      <w:r w:rsidR="00EA03C0" w:rsidRPr="00C53A3E">
        <w:rPr>
          <w:rFonts w:ascii="Century Schoolbook" w:hAnsi="Century Schoolbook" w:cs="Times New Roman"/>
          <w:color w:val="000000"/>
          <w:sz w:val="24"/>
          <w:szCs w:val="24"/>
          <w:vertAlign w:val="superscript"/>
        </w:rPr>
        <w:t>th</w:t>
      </w:r>
      <w:r w:rsidR="00EA03C0" w:rsidRPr="00C53A3E">
        <w:rPr>
          <w:rFonts w:ascii="Century Schoolbook" w:hAnsi="Century Schoolbook" w:cs="Times New Roman"/>
          <w:color w:val="000000"/>
          <w:sz w:val="24"/>
          <w:szCs w:val="24"/>
        </w:rPr>
        <w:t xml:space="preserve">, 2019 Economist, John Viglione </w:t>
      </w:r>
      <w:r w:rsidR="00EA03C0" w:rsidRPr="00C53A3E">
        <w:rPr>
          <w:rFonts w:ascii="Century Schoolbook" w:hAnsi="Century Schoolbook" w:cs="Times New Roman"/>
          <w:i/>
          <w:sz w:val="24"/>
          <w:szCs w:val="24"/>
        </w:rPr>
        <w:t>gave a presentation and led discussion on Electric Vehicle Customer Engagement at CCIF Forum, Driving a Customer-Centric Energy Future,  in Philadelphia, Pennsylvania, March 25, 201</w:t>
      </w:r>
      <w:r>
        <w:rPr>
          <w:rFonts w:ascii="Century Schoolbook" w:hAnsi="Century Schoolbook" w:cs="Times New Roman"/>
          <w:i/>
          <w:sz w:val="24"/>
          <w:szCs w:val="24"/>
        </w:rPr>
        <w:t>9.</w:t>
      </w:r>
    </w:p>
    <w:p w14:paraId="314988A0" w14:textId="77777777" w:rsidR="00A91917" w:rsidRDefault="00A91917" w:rsidP="00C53A3E">
      <w:pPr>
        <w:autoSpaceDE w:val="0"/>
        <w:autoSpaceDN w:val="0"/>
        <w:adjustRightInd w:val="0"/>
        <w:spacing w:after="0" w:line="240" w:lineRule="auto"/>
        <w:ind w:left="900" w:hanging="900"/>
        <w:jc w:val="both"/>
        <w:rPr>
          <w:rFonts w:ascii="Century Schoolbook" w:hAnsi="Century Schoolbook" w:cs="Times New Roman"/>
          <w:color w:val="000000"/>
          <w:sz w:val="24"/>
          <w:szCs w:val="24"/>
        </w:rPr>
      </w:pPr>
    </w:p>
    <w:p w14:paraId="0474F49A" w14:textId="77777777" w:rsidR="00706A79" w:rsidRPr="00A91917" w:rsidRDefault="00706A79" w:rsidP="00061580">
      <w:pPr>
        <w:autoSpaceDE w:val="0"/>
        <w:autoSpaceDN w:val="0"/>
        <w:adjustRightInd w:val="0"/>
        <w:spacing w:after="0" w:line="240" w:lineRule="auto"/>
        <w:jc w:val="both"/>
        <w:rPr>
          <w:rFonts w:ascii="Century Schoolbook" w:hAnsi="Century Schoolbook" w:cs="Times New Roman"/>
          <w:color w:val="000000"/>
          <w:sz w:val="24"/>
          <w:szCs w:val="24"/>
        </w:rPr>
      </w:pPr>
    </w:p>
    <w:p w14:paraId="6D0B3930" w14:textId="77777777" w:rsidR="00171BAF" w:rsidRPr="00D8677F" w:rsidRDefault="00171BAF" w:rsidP="00171BAF">
      <w:pPr>
        <w:numPr>
          <w:ilvl w:val="0"/>
          <w:numId w:val="5"/>
        </w:numPr>
        <w:autoSpaceDE w:val="0"/>
        <w:autoSpaceDN w:val="0"/>
        <w:adjustRightInd w:val="0"/>
        <w:spacing w:after="0" w:line="240" w:lineRule="auto"/>
        <w:ind w:left="360"/>
        <w:jc w:val="both"/>
        <w:rPr>
          <w:rFonts w:ascii="Century Schoolbook" w:hAnsi="Century Schoolbook" w:cs="Times New Roman"/>
          <w:color w:val="000000"/>
          <w:sz w:val="24"/>
          <w:szCs w:val="24"/>
        </w:rPr>
      </w:pPr>
      <w:r w:rsidRPr="008578C0">
        <w:rPr>
          <w:rFonts w:ascii="Century Schoolbook" w:hAnsi="Century Schoolbook" w:cs="Times New Roman"/>
          <w:b/>
          <w:color w:val="000000"/>
          <w:sz w:val="24"/>
          <w:szCs w:val="24"/>
          <w:u w:val="single"/>
        </w:rPr>
        <w:t xml:space="preserve">Working Group Advocacy </w:t>
      </w:r>
    </w:p>
    <w:p w14:paraId="629DE930" w14:textId="77777777" w:rsidR="00171BAF" w:rsidRPr="008578C0" w:rsidRDefault="00171BAF" w:rsidP="00171BAF">
      <w:pPr>
        <w:autoSpaceDE w:val="0"/>
        <w:autoSpaceDN w:val="0"/>
        <w:adjustRightInd w:val="0"/>
        <w:spacing w:after="0" w:line="240" w:lineRule="auto"/>
        <w:ind w:left="720"/>
        <w:jc w:val="both"/>
        <w:rPr>
          <w:rFonts w:ascii="Century Schoolbook" w:hAnsi="Century Schoolbook" w:cs="Times New Roman"/>
          <w:color w:val="000000"/>
          <w:sz w:val="24"/>
          <w:szCs w:val="24"/>
        </w:rPr>
      </w:pPr>
    </w:p>
    <w:p w14:paraId="5F07AEED" w14:textId="77777777" w:rsidR="00A91917" w:rsidRPr="00134E90" w:rsidRDefault="00A91917" w:rsidP="00706A79">
      <w:pPr>
        <w:pStyle w:val="ListParagraph"/>
        <w:numPr>
          <w:ilvl w:val="0"/>
          <w:numId w:val="8"/>
        </w:numPr>
        <w:autoSpaceDE w:val="0"/>
        <w:autoSpaceDN w:val="0"/>
        <w:adjustRightInd w:val="0"/>
        <w:spacing w:after="0" w:line="240" w:lineRule="auto"/>
        <w:ind w:left="810" w:hanging="450"/>
        <w:jc w:val="both"/>
        <w:rPr>
          <w:rFonts w:ascii="Century Schoolbook" w:hAnsi="Century Schoolbook" w:cs="Times New Roman"/>
          <w:color w:val="000000"/>
          <w:sz w:val="24"/>
          <w:szCs w:val="24"/>
        </w:rPr>
      </w:pPr>
      <w:r w:rsidRPr="00134E90">
        <w:rPr>
          <w:rFonts w:ascii="Century Schoolbook" w:hAnsi="Century Schoolbook" w:cs="Times New Roman"/>
          <w:sz w:val="24"/>
          <w:szCs w:val="24"/>
        </w:rPr>
        <w:t xml:space="preserve">Principal attorneys Joe Rosenthal and Bill </w:t>
      </w:r>
      <w:proofErr w:type="spellStart"/>
      <w:r w:rsidRPr="00134E90">
        <w:rPr>
          <w:rFonts w:ascii="Century Schoolbook" w:hAnsi="Century Schoolbook" w:cs="Times New Roman"/>
          <w:sz w:val="24"/>
          <w:szCs w:val="24"/>
        </w:rPr>
        <w:t>Vallee</w:t>
      </w:r>
      <w:proofErr w:type="spellEnd"/>
      <w:r w:rsidRPr="00134E90">
        <w:rPr>
          <w:rFonts w:ascii="Century Schoolbook" w:hAnsi="Century Schoolbook" w:cs="Times New Roman"/>
          <w:sz w:val="24"/>
          <w:szCs w:val="24"/>
        </w:rPr>
        <w:t xml:space="preserve"> will lead the OCC’s activities in the </w:t>
      </w:r>
      <w:r w:rsidRPr="00134E90">
        <w:rPr>
          <w:rFonts w:ascii="Century Schoolbook" w:hAnsi="Century Schoolbook"/>
          <w:sz w:val="24"/>
          <w:szCs w:val="24"/>
        </w:rPr>
        <w:t>Docket No. 11-03-07RE01 Single Pole Administrator Working Group, to develop a statewide utility pole and conduit management process to streamline access by competitors and new advanced technology providers in an equitable platform to help make Connecticut competitive among the states.</w:t>
      </w:r>
    </w:p>
    <w:p w14:paraId="44CEA7CB" w14:textId="77777777" w:rsidR="00A91917" w:rsidRPr="00134E90" w:rsidRDefault="00A91917" w:rsidP="00706A79">
      <w:pPr>
        <w:pStyle w:val="ListParagraph"/>
        <w:autoSpaceDE w:val="0"/>
        <w:autoSpaceDN w:val="0"/>
        <w:adjustRightInd w:val="0"/>
        <w:spacing w:after="0" w:line="240" w:lineRule="auto"/>
        <w:ind w:left="810" w:firstLine="720"/>
        <w:jc w:val="both"/>
        <w:rPr>
          <w:rFonts w:ascii="Century Schoolbook" w:hAnsi="Century Schoolbook" w:cs="Times New Roman"/>
          <w:color w:val="000000"/>
          <w:sz w:val="24"/>
          <w:szCs w:val="24"/>
        </w:rPr>
      </w:pPr>
    </w:p>
    <w:p w14:paraId="4707ED96" w14:textId="77777777" w:rsidR="00171BAF" w:rsidRPr="006E399D" w:rsidRDefault="00171BAF" w:rsidP="00706A79">
      <w:pPr>
        <w:pStyle w:val="ListParagraph"/>
        <w:numPr>
          <w:ilvl w:val="0"/>
          <w:numId w:val="8"/>
        </w:numPr>
        <w:autoSpaceDE w:val="0"/>
        <w:autoSpaceDN w:val="0"/>
        <w:adjustRightInd w:val="0"/>
        <w:spacing w:after="0" w:line="240" w:lineRule="auto"/>
        <w:ind w:left="810" w:hanging="450"/>
        <w:jc w:val="both"/>
        <w:rPr>
          <w:rFonts w:ascii="Century Schoolbook" w:hAnsi="Century Schoolbook" w:cs="Times New Roman"/>
          <w:color w:val="000000"/>
          <w:sz w:val="24"/>
          <w:szCs w:val="24"/>
        </w:rPr>
      </w:pPr>
      <w:r w:rsidRPr="006E399D">
        <w:rPr>
          <w:rFonts w:ascii="Century Schoolbook" w:hAnsi="Century Schoolbook" w:cs="Times New Roman"/>
          <w:color w:val="000000"/>
          <w:sz w:val="24"/>
          <w:szCs w:val="24"/>
        </w:rPr>
        <w:t xml:space="preserve">OCC has continued to participate in the Supplier Working Group, which was initiated by PURA in 2011 as a forum to address changes in Connecticut’s retail energy market.  The Supplier Working Group currently </w:t>
      </w:r>
      <w:r w:rsidRPr="006E399D">
        <w:rPr>
          <w:rFonts w:ascii="Century Schoolbook" w:eastAsia="Times New Roman" w:hAnsi="Century Schoolbook" w:cs="Times New Roman"/>
          <w:color w:val="000000"/>
          <w:sz w:val="24"/>
          <w:szCs w:val="24"/>
        </w:rPr>
        <w:t xml:space="preserve">provides a collaborative process for stakeholders to consider current regulatory and legislative supplier issues, and to discuss and implement best practices with regard to the Rate Board.   </w:t>
      </w:r>
    </w:p>
    <w:p w14:paraId="16328157" w14:textId="77777777" w:rsidR="00171BAF" w:rsidRPr="008578C0" w:rsidRDefault="00171BAF" w:rsidP="00706A79">
      <w:pPr>
        <w:autoSpaceDE w:val="0"/>
        <w:autoSpaceDN w:val="0"/>
        <w:adjustRightInd w:val="0"/>
        <w:spacing w:after="0" w:line="240" w:lineRule="auto"/>
        <w:ind w:left="810" w:firstLine="720"/>
        <w:jc w:val="both"/>
        <w:rPr>
          <w:rFonts w:ascii="Century Schoolbook" w:hAnsi="Century Schoolbook" w:cs="Times New Roman"/>
          <w:color w:val="000000"/>
          <w:sz w:val="24"/>
          <w:szCs w:val="24"/>
        </w:rPr>
      </w:pPr>
    </w:p>
    <w:p w14:paraId="2A98A506" w14:textId="77777777" w:rsidR="00171BAF" w:rsidRDefault="00171BAF" w:rsidP="00706A79">
      <w:pPr>
        <w:pStyle w:val="ListParagraph"/>
        <w:numPr>
          <w:ilvl w:val="0"/>
          <w:numId w:val="8"/>
        </w:numPr>
        <w:autoSpaceDE w:val="0"/>
        <w:autoSpaceDN w:val="0"/>
        <w:adjustRightInd w:val="0"/>
        <w:spacing w:after="0" w:line="240" w:lineRule="auto"/>
        <w:ind w:left="810" w:hanging="450"/>
        <w:jc w:val="both"/>
        <w:rPr>
          <w:rFonts w:ascii="Century Schoolbook" w:hAnsi="Century Schoolbook" w:cs="Times New Roman"/>
          <w:color w:val="000000"/>
          <w:sz w:val="24"/>
          <w:szCs w:val="24"/>
        </w:rPr>
      </w:pPr>
      <w:r w:rsidRPr="006E399D">
        <w:rPr>
          <w:rFonts w:ascii="Century Schoolbook" w:hAnsi="Century Schoolbook" w:cs="Times New Roman"/>
          <w:color w:val="000000"/>
          <w:sz w:val="24"/>
          <w:szCs w:val="24"/>
        </w:rPr>
        <w:t xml:space="preserve">OCC participated in </w:t>
      </w:r>
      <w:r w:rsidRPr="006E399D">
        <w:rPr>
          <w:rFonts w:ascii="Century Schoolbook" w:eastAsia="Times New Roman" w:hAnsi="Century Schoolbook" w:cs="Times New Roman"/>
          <w:color w:val="000000"/>
          <w:sz w:val="24"/>
          <w:szCs w:val="24"/>
        </w:rPr>
        <w:t xml:space="preserve">the </w:t>
      </w:r>
      <w:r w:rsidRPr="006E399D">
        <w:rPr>
          <w:rFonts w:ascii="Century Schoolbook" w:hAnsi="Century Schoolbook" w:cs="Arial"/>
          <w:color w:val="000000"/>
          <w:sz w:val="24"/>
          <w:szCs w:val="24"/>
        </w:rPr>
        <w:t xml:space="preserve">Electronic Business Transaction (“EBT”) </w:t>
      </w:r>
      <w:r w:rsidRPr="006E399D">
        <w:rPr>
          <w:rFonts w:ascii="Century Schoolbook" w:eastAsia="Times New Roman" w:hAnsi="Century Schoolbook" w:cs="Times New Roman"/>
          <w:color w:val="000000"/>
          <w:sz w:val="24"/>
          <w:szCs w:val="24"/>
        </w:rPr>
        <w:t>Working Group, which was initiated to develop the processes necessary to exchange data between licensed electric suppliers and the electric distribution companies to implement the</w:t>
      </w:r>
      <w:r w:rsidRPr="006E399D">
        <w:rPr>
          <w:rFonts w:ascii="Century Schoolbook" w:hAnsi="Century Schoolbook" w:cs="Times New Roman"/>
          <w:color w:val="000000"/>
          <w:sz w:val="24"/>
          <w:szCs w:val="24"/>
        </w:rPr>
        <w:t xml:space="preserve"> residential electric bill redesign initiative of Section 1 of Public Act 14</w:t>
      </w:r>
      <w:r w:rsidRPr="006E399D">
        <w:rPr>
          <w:rFonts w:ascii="Century Schoolbook" w:hAnsi="Century Schoolbook" w:cs="Times New Roman"/>
          <w:color w:val="000000"/>
          <w:sz w:val="24"/>
          <w:szCs w:val="24"/>
        </w:rPr>
        <w:noBreakHyphen/>
        <w:t xml:space="preserve">75, </w:t>
      </w:r>
      <w:r w:rsidRPr="006E399D">
        <w:rPr>
          <w:rFonts w:ascii="Century Schoolbook" w:hAnsi="Century Schoolbook" w:cs="Times New Roman"/>
          <w:i/>
          <w:color w:val="000000"/>
          <w:sz w:val="24"/>
          <w:szCs w:val="24"/>
        </w:rPr>
        <w:t>An Act Concerning Electric Customer Consumer Protection</w:t>
      </w:r>
      <w:r w:rsidRPr="006E399D">
        <w:rPr>
          <w:rFonts w:ascii="Century Schoolbook" w:hAnsi="Century Schoolbook" w:cs="Times New Roman"/>
          <w:color w:val="000000"/>
          <w:sz w:val="24"/>
          <w:szCs w:val="24"/>
        </w:rPr>
        <w:t xml:space="preserve">.  The EBT Working Group continues to meet to resolve ongoing issues with regard to the electric bill redesign and other billing concerns.  </w:t>
      </w:r>
    </w:p>
    <w:p w14:paraId="3CFF966B" w14:textId="77777777" w:rsidR="00171BAF" w:rsidRPr="00786C0C" w:rsidRDefault="00171BAF" w:rsidP="00706A79">
      <w:pPr>
        <w:autoSpaceDE w:val="0"/>
        <w:autoSpaceDN w:val="0"/>
        <w:adjustRightInd w:val="0"/>
        <w:spacing w:after="0" w:line="240" w:lineRule="auto"/>
        <w:ind w:left="810" w:firstLine="720"/>
        <w:jc w:val="both"/>
        <w:rPr>
          <w:rFonts w:ascii="Century Schoolbook" w:hAnsi="Century Schoolbook" w:cs="Times New Roman"/>
          <w:color w:val="000000"/>
          <w:sz w:val="24"/>
          <w:szCs w:val="24"/>
        </w:rPr>
      </w:pPr>
    </w:p>
    <w:p w14:paraId="343A6C66" w14:textId="77777777" w:rsidR="00171BAF" w:rsidRDefault="00171BAF" w:rsidP="00706A79">
      <w:pPr>
        <w:numPr>
          <w:ilvl w:val="0"/>
          <w:numId w:val="8"/>
        </w:numPr>
        <w:autoSpaceDE w:val="0"/>
        <w:autoSpaceDN w:val="0"/>
        <w:adjustRightInd w:val="0"/>
        <w:spacing w:after="0" w:line="240" w:lineRule="auto"/>
        <w:ind w:left="810" w:hanging="450"/>
        <w:jc w:val="both"/>
        <w:rPr>
          <w:rFonts w:ascii="Century Schoolbook" w:hAnsi="Century Schoolbook" w:cs="Times New Roman"/>
          <w:color w:val="000000"/>
          <w:sz w:val="24"/>
          <w:szCs w:val="24"/>
        </w:rPr>
      </w:pPr>
      <w:r>
        <w:rPr>
          <w:rFonts w:ascii="Century Schoolbook" w:hAnsi="Century Schoolbook" w:cs="Times New Roman"/>
          <w:color w:val="000000"/>
          <w:sz w:val="24"/>
          <w:szCs w:val="24"/>
        </w:rPr>
        <w:t xml:space="preserve">During this Fiscal Year, OCC participated in a newly-formed Working Group to discuss consumer protection issues in competitive electric markets, including issues with telesales and door-to-door marketing as well as the effect that predatory marketing tactics has on vulnerable populations and the general class of electric ratepayers.  The Working Group is comprised of representatives from various Attorney General Offices and state consumer advocate agencies from states which have deregulated energy markets.  </w:t>
      </w:r>
    </w:p>
    <w:p w14:paraId="405D639D" w14:textId="77777777" w:rsidR="00E35EBE" w:rsidRDefault="00E35EBE" w:rsidP="003643DC">
      <w:pPr>
        <w:pStyle w:val="ListParagraph"/>
        <w:ind w:left="1440"/>
        <w:rPr>
          <w:rFonts w:ascii="Century Schoolbook" w:hAnsi="Century Schoolbook" w:cs="Times New Roman"/>
          <w:color w:val="000000"/>
          <w:sz w:val="24"/>
          <w:szCs w:val="24"/>
        </w:rPr>
      </w:pPr>
    </w:p>
    <w:p w14:paraId="59C360B7" w14:textId="77777777" w:rsidR="00550BCC" w:rsidRDefault="00550BCC" w:rsidP="00550BCC">
      <w:pPr>
        <w:pStyle w:val="ListParagraph"/>
        <w:rPr>
          <w:rFonts w:ascii="Century Schoolbook" w:hAnsi="Century Schoolbook" w:cs="Times New Roman"/>
          <w:color w:val="000000"/>
          <w:sz w:val="24"/>
          <w:szCs w:val="24"/>
        </w:rPr>
      </w:pPr>
    </w:p>
    <w:p w14:paraId="37622ECA" w14:textId="77777777" w:rsidR="00A50CD0" w:rsidRPr="002E230E" w:rsidRDefault="00A50CD0" w:rsidP="00A50CD0">
      <w:pPr>
        <w:pStyle w:val="Default"/>
        <w:numPr>
          <w:ilvl w:val="0"/>
          <w:numId w:val="11"/>
        </w:numPr>
        <w:ind w:left="720"/>
        <w:jc w:val="both"/>
        <w:rPr>
          <w:rFonts w:ascii="Century Schoolbook" w:hAnsi="Century Schoolbook"/>
          <w:b/>
          <w:color w:val="auto"/>
          <w:u w:val="single"/>
        </w:rPr>
      </w:pPr>
      <w:r>
        <w:rPr>
          <w:rFonts w:ascii="Century Schoolbook" w:hAnsi="Century Schoolbook"/>
          <w:b/>
          <w:color w:val="auto"/>
          <w:u w:val="single"/>
        </w:rPr>
        <w:t>Third Party Electric Supplier Outreach and Education</w:t>
      </w:r>
    </w:p>
    <w:p w14:paraId="4CA9BAD9" w14:textId="77777777" w:rsidR="00A50CD0" w:rsidRDefault="00A50CD0" w:rsidP="00A50CD0">
      <w:pPr>
        <w:pStyle w:val="Default"/>
        <w:jc w:val="both"/>
        <w:rPr>
          <w:rFonts w:ascii="Century Schoolbook" w:hAnsi="Century Schoolbook"/>
          <w:color w:val="auto"/>
        </w:rPr>
      </w:pPr>
    </w:p>
    <w:p w14:paraId="2671EAE7" w14:textId="2472AF20" w:rsidR="00A50CD0" w:rsidRDefault="00A50CD0" w:rsidP="00FF0CD1">
      <w:pPr>
        <w:pStyle w:val="Default"/>
        <w:ind w:left="720"/>
        <w:rPr>
          <w:rFonts w:ascii="Century Schoolbook" w:hAnsi="Century Schoolbook"/>
          <w:color w:val="auto"/>
        </w:rPr>
      </w:pPr>
      <w:r>
        <w:rPr>
          <w:rFonts w:ascii="Century Schoolbook" w:hAnsi="Century Schoolbook"/>
          <w:color w:val="auto"/>
        </w:rPr>
        <w:t>Each month the OCC examines and analyzes 3</w:t>
      </w:r>
      <w:r w:rsidRPr="00BD6F3F">
        <w:rPr>
          <w:rFonts w:ascii="Century Schoolbook" w:hAnsi="Century Schoolbook"/>
          <w:color w:val="auto"/>
          <w:vertAlign w:val="superscript"/>
        </w:rPr>
        <w:t>rd</w:t>
      </w:r>
      <w:r>
        <w:rPr>
          <w:rFonts w:ascii="Century Schoolbook" w:hAnsi="Century Schoolbook"/>
          <w:color w:val="auto"/>
        </w:rPr>
        <w:t xml:space="preserve"> party electric supplier </w:t>
      </w:r>
      <w:r w:rsidR="00B65841">
        <w:rPr>
          <w:rFonts w:ascii="Century Schoolbook" w:hAnsi="Century Schoolbook"/>
          <w:color w:val="auto"/>
        </w:rPr>
        <w:t>compliance data and produces a</w:t>
      </w:r>
      <w:r>
        <w:rPr>
          <w:rFonts w:ascii="Century Schoolbook" w:hAnsi="Century Schoolbook"/>
          <w:color w:val="auto"/>
        </w:rPr>
        <w:t xml:space="preserve"> “Monthly Supplier Fact Sheet</w:t>
      </w:r>
      <w:r w:rsidR="00061580">
        <w:rPr>
          <w:rFonts w:ascii="Century Schoolbook" w:hAnsi="Century Schoolbook"/>
          <w:color w:val="auto"/>
        </w:rPr>
        <w:t>,</w:t>
      </w:r>
      <w:r w:rsidR="00B65841">
        <w:rPr>
          <w:rFonts w:ascii="Century Schoolbook" w:hAnsi="Century Schoolbook"/>
          <w:color w:val="auto"/>
        </w:rPr>
        <w:t>” which is posted</w:t>
      </w:r>
      <w:r>
        <w:rPr>
          <w:rFonts w:ascii="Century Schoolbook" w:hAnsi="Century Schoolbook"/>
          <w:color w:val="auto"/>
        </w:rPr>
        <w:t xml:space="preserve"> regularly on the </w:t>
      </w:r>
      <w:hyperlink r:id="rId10" w:history="1">
        <w:r w:rsidR="00061580" w:rsidRPr="00061580">
          <w:rPr>
            <w:rStyle w:val="Hyperlink"/>
            <w:rFonts w:ascii="Century Schoolbook" w:hAnsi="Century Schoolbook"/>
          </w:rPr>
          <w:t>OCC</w:t>
        </w:r>
        <w:r w:rsidRPr="00061580">
          <w:rPr>
            <w:rStyle w:val="Hyperlink"/>
            <w:rFonts w:ascii="Century Schoolbook" w:hAnsi="Century Schoolbook"/>
          </w:rPr>
          <w:t xml:space="preserve"> website</w:t>
        </w:r>
      </w:hyperlink>
      <w:r>
        <w:rPr>
          <w:rFonts w:ascii="Century Schoolbook" w:hAnsi="Century Schoolbook"/>
          <w:color w:val="auto"/>
        </w:rPr>
        <w:t xml:space="preserve">.  This </w:t>
      </w:r>
      <w:r w:rsidR="00966014" w:rsidRPr="00C53A3E">
        <w:t>fact sheet</w:t>
      </w:r>
      <w:r>
        <w:rPr>
          <w:rFonts w:ascii="Century Schoolbook" w:hAnsi="Century Schoolbook"/>
          <w:color w:val="auto"/>
        </w:rPr>
        <w:t xml:space="preserve"> reports on the state of the residential electric supplier market in Connecticut and the impact it is having on customers with 3</w:t>
      </w:r>
      <w:r w:rsidRPr="00BD6F3F">
        <w:rPr>
          <w:rFonts w:ascii="Century Schoolbook" w:hAnsi="Century Schoolbook"/>
          <w:color w:val="auto"/>
          <w:vertAlign w:val="superscript"/>
        </w:rPr>
        <w:t>rd</w:t>
      </w:r>
      <w:r>
        <w:rPr>
          <w:rFonts w:ascii="Century Schoolbook" w:hAnsi="Century Schoolbook"/>
          <w:color w:val="auto"/>
        </w:rPr>
        <w:t xml:space="preserve"> party electric suppliers.  Many metrics can be derived from this data</w:t>
      </w:r>
      <w:r w:rsidR="00061580">
        <w:rPr>
          <w:rFonts w:ascii="Century Schoolbook" w:hAnsi="Century Schoolbook"/>
          <w:color w:val="auto"/>
        </w:rPr>
        <w:t>,</w:t>
      </w:r>
      <w:r>
        <w:rPr>
          <w:rFonts w:ascii="Century Schoolbook" w:hAnsi="Century Schoolbook"/>
          <w:color w:val="auto"/>
        </w:rPr>
        <w:t xml:space="preserve"> but three important ones stand out.  The first of these metrics is the percentage of customers paying more or less than the EDC standard service rate.  The second is how much savings or overpayments customers, as a whole, experienced for a particular month.  The final metric is a big picture view of the impact of electric suppliers on customers.  It examines how much savings or overpayments customers experienced on a rolling year basis.  The OCC uses this report as a tool to help inform Connecticut customers about competitive supply and the impact it can have on their bills.</w:t>
      </w:r>
      <w:r w:rsidR="00DF5A02">
        <w:rPr>
          <w:rFonts w:ascii="Century Schoolbook" w:hAnsi="Century Schoolbook"/>
          <w:color w:val="auto"/>
        </w:rPr>
        <w:t xml:space="preserve">  The OCC Fact Sheets show that for the last fiscal year, Connecticut ratepayers with a third party electric supplier overpaid by $29,815,554.</w:t>
      </w:r>
    </w:p>
    <w:p w14:paraId="7B4D721C" w14:textId="77777777" w:rsidR="00AF5919" w:rsidRDefault="00AF5919" w:rsidP="00FF0CD1">
      <w:pPr>
        <w:pStyle w:val="Default"/>
        <w:ind w:left="720"/>
        <w:rPr>
          <w:rFonts w:ascii="Century Schoolbook" w:hAnsi="Century Schoolbook"/>
        </w:rPr>
      </w:pPr>
    </w:p>
    <w:p w14:paraId="651FA656" w14:textId="77777777" w:rsidR="00171BAF" w:rsidRPr="00BC4799" w:rsidRDefault="00171BAF" w:rsidP="00171BAF">
      <w:pPr>
        <w:pStyle w:val="Default"/>
        <w:jc w:val="both"/>
        <w:rPr>
          <w:rFonts w:ascii="Century Schoolbook" w:hAnsi="Century Schoolbook"/>
          <w:sz w:val="23"/>
          <w:szCs w:val="23"/>
        </w:rPr>
      </w:pPr>
    </w:p>
    <w:p w14:paraId="19E6FAA1" w14:textId="77777777" w:rsidR="006F69EE" w:rsidRDefault="006F69EE" w:rsidP="00171BAF">
      <w:pPr>
        <w:pStyle w:val="Default"/>
        <w:ind w:left="360"/>
        <w:jc w:val="center"/>
        <w:rPr>
          <w:rFonts w:ascii="Century Schoolbook" w:hAnsi="Century Schoolbook"/>
          <w:b/>
          <w:sz w:val="28"/>
          <w:szCs w:val="28"/>
        </w:rPr>
      </w:pPr>
    </w:p>
    <w:p w14:paraId="4D1E8EF6" w14:textId="77777777" w:rsidR="003E048F" w:rsidRDefault="003E048F" w:rsidP="00171BAF">
      <w:pPr>
        <w:pStyle w:val="Default"/>
        <w:ind w:left="360"/>
        <w:jc w:val="center"/>
        <w:rPr>
          <w:rFonts w:ascii="Century Schoolbook" w:hAnsi="Century Schoolbook"/>
          <w:b/>
          <w:sz w:val="28"/>
          <w:szCs w:val="28"/>
        </w:rPr>
      </w:pPr>
    </w:p>
    <w:p w14:paraId="285F4F15" w14:textId="77777777" w:rsidR="003E048F" w:rsidRDefault="003E048F" w:rsidP="00171BAF">
      <w:pPr>
        <w:pStyle w:val="Default"/>
        <w:ind w:left="360"/>
        <w:jc w:val="center"/>
        <w:rPr>
          <w:rFonts w:ascii="Century Schoolbook" w:hAnsi="Century Schoolbook"/>
          <w:b/>
          <w:sz w:val="28"/>
          <w:szCs w:val="28"/>
        </w:rPr>
      </w:pPr>
    </w:p>
    <w:p w14:paraId="0A3D2F5A" w14:textId="77777777" w:rsidR="00171BAF" w:rsidRDefault="00171BAF" w:rsidP="00171BAF">
      <w:pPr>
        <w:pStyle w:val="Default"/>
        <w:ind w:left="360"/>
        <w:jc w:val="center"/>
        <w:rPr>
          <w:rFonts w:ascii="Century Schoolbook" w:hAnsi="Century Schoolbook"/>
          <w:b/>
          <w:sz w:val="28"/>
          <w:szCs w:val="28"/>
        </w:rPr>
      </w:pPr>
      <w:r w:rsidRPr="00BC4799">
        <w:rPr>
          <w:rFonts w:ascii="Century Schoolbook" w:hAnsi="Century Schoolbook"/>
          <w:b/>
          <w:sz w:val="28"/>
          <w:szCs w:val="28"/>
        </w:rPr>
        <w:lastRenderedPageBreak/>
        <w:t>Information Reported as Required by State Statute</w:t>
      </w:r>
    </w:p>
    <w:p w14:paraId="6B6998B1" w14:textId="77777777" w:rsidR="003E048F" w:rsidRPr="00BC4799" w:rsidRDefault="003E048F" w:rsidP="00171BAF">
      <w:pPr>
        <w:pStyle w:val="Default"/>
        <w:ind w:left="360"/>
        <w:jc w:val="center"/>
        <w:rPr>
          <w:rFonts w:ascii="Century Schoolbook" w:hAnsi="Century Schoolbook"/>
          <w:b/>
          <w:sz w:val="28"/>
          <w:szCs w:val="28"/>
        </w:rPr>
      </w:pPr>
    </w:p>
    <w:p w14:paraId="684E37B4" w14:textId="77777777" w:rsidR="00171BAF" w:rsidRPr="00E3554C" w:rsidRDefault="00171BAF" w:rsidP="00171BAF">
      <w:pPr>
        <w:pStyle w:val="Default"/>
        <w:ind w:left="360"/>
        <w:jc w:val="both"/>
        <w:rPr>
          <w:rFonts w:ascii="Century Schoolbook" w:hAnsi="Century Schoolbook"/>
          <w:b/>
          <w:sz w:val="18"/>
          <w:szCs w:val="18"/>
        </w:rPr>
      </w:pPr>
    </w:p>
    <w:p w14:paraId="1BBBF472" w14:textId="77777777" w:rsidR="00171BAF" w:rsidRPr="00497130" w:rsidRDefault="00171BAF" w:rsidP="00171BAF">
      <w:pPr>
        <w:spacing w:after="0" w:line="240" w:lineRule="auto"/>
        <w:rPr>
          <w:sz w:val="24"/>
          <w:szCs w:val="24"/>
        </w:rPr>
      </w:pPr>
      <w:r w:rsidRPr="00497130">
        <w:rPr>
          <w:rFonts w:ascii="Century Schoolbook" w:hAnsi="Century Schoolbook"/>
          <w:sz w:val="24"/>
          <w:szCs w:val="24"/>
        </w:rPr>
        <w:t>OCC has complied with all state requirements regarding affirmative action and equal opportunity, most particularly Conn. Gen. Statutes §§46a-70 through 46a-78, and is in compliance with all federal requirements.</w:t>
      </w:r>
    </w:p>
    <w:p w14:paraId="149D7D27" w14:textId="77777777" w:rsidR="00171BAF" w:rsidRPr="00497130" w:rsidRDefault="00171BAF" w:rsidP="00171BAF">
      <w:pPr>
        <w:spacing w:after="0" w:line="240" w:lineRule="auto"/>
        <w:rPr>
          <w:sz w:val="24"/>
          <w:szCs w:val="24"/>
        </w:rPr>
      </w:pPr>
    </w:p>
    <w:p w14:paraId="78D6FC6F" w14:textId="77777777" w:rsidR="00894AAC" w:rsidRDefault="00894AAC"/>
    <w:sectPr w:rsidR="00894AAC" w:rsidSect="006C7519">
      <w:footerReference w:type="default" r:id="rId11"/>
      <w:pgSz w:w="12240" w:h="15840" w:code="1"/>
      <w:pgMar w:top="1440" w:right="1440" w:bottom="152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2027D" w14:textId="77777777" w:rsidR="00EA03C0" w:rsidRDefault="00EA03C0">
      <w:pPr>
        <w:spacing w:after="0" w:line="240" w:lineRule="auto"/>
      </w:pPr>
      <w:r>
        <w:separator/>
      </w:r>
    </w:p>
  </w:endnote>
  <w:endnote w:type="continuationSeparator" w:id="0">
    <w:p w14:paraId="60AF87A2" w14:textId="77777777" w:rsidR="00EA03C0" w:rsidRDefault="00EA03C0">
      <w:pPr>
        <w:spacing w:after="0" w:line="240" w:lineRule="auto"/>
      </w:pPr>
      <w:r>
        <w:continuationSeparator/>
      </w:r>
    </w:p>
  </w:endnote>
  <w:endnote w:type="continuationNotice" w:id="1">
    <w:p w14:paraId="1BFB2EC9" w14:textId="77777777" w:rsidR="00EA03C0" w:rsidRDefault="00EA0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29030"/>
      <w:docPartObj>
        <w:docPartGallery w:val="Page Numbers (Bottom of Page)"/>
        <w:docPartUnique/>
      </w:docPartObj>
    </w:sdtPr>
    <w:sdtEndPr>
      <w:rPr>
        <w:noProof/>
        <w:sz w:val="24"/>
      </w:rPr>
    </w:sdtEndPr>
    <w:sdtContent>
      <w:p w14:paraId="1D7AF905" w14:textId="36E0D5E0" w:rsidR="00EA03C0" w:rsidRPr="00EF344A" w:rsidRDefault="00EA03C0">
        <w:pPr>
          <w:pStyle w:val="Footer"/>
          <w:jc w:val="center"/>
          <w:rPr>
            <w:sz w:val="24"/>
          </w:rPr>
        </w:pPr>
        <w:r w:rsidRPr="00EF344A">
          <w:rPr>
            <w:sz w:val="24"/>
          </w:rPr>
          <w:fldChar w:fldCharType="begin"/>
        </w:r>
        <w:r w:rsidRPr="00EF344A">
          <w:rPr>
            <w:sz w:val="24"/>
          </w:rPr>
          <w:instrText xml:space="preserve"> PAGE   \* MERGEFORMAT </w:instrText>
        </w:r>
        <w:r w:rsidRPr="00EF344A">
          <w:rPr>
            <w:sz w:val="24"/>
          </w:rPr>
          <w:fldChar w:fldCharType="separate"/>
        </w:r>
        <w:r w:rsidR="003307F8">
          <w:rPr>
            <w:noProof/>
            <w:sz w:val="24"/>
          </w:rPr>
          <w:t>19</w:t>
        </w:r>
        <w:r w:rsidRPr="00EF344A">
          <w:rPr>
            <w:noProof/>
            <w:sz w:val="24"/>
          </w:rPr>
          <w:fldChar w:fldCharType="end"/>
        </w:r>
      </w:p>
    </w:sdtContent>
  </w:sdt>
  <w:p w14:paraId="11AFF7E1" w14:textId="77777777" w:rsidR="00EA03C0" w:rsidRDefault="00EA0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E725F" w14:textId="77777777" w:rsidR="00EA03C0" w:rsidRDefault="00EA03C0">
      <w:pPr>
        <w:spacing w:after="0" w:line="240" w:lineRule="auto"/>
      </w:pPr>
      <w:r>
        <w:separator/>
      </w:r>
    </w:p>
  </w:footnote>
  <w:footnote w:type="continuationSeparator" w:id="0">
    <w:p w14:paraId="050DA63A" w14:textId="77777777" w:rsidR="00EA03C0" w:rsidRDefault="00EA03C0">
      <w:pPr>
        <w:spacing w:after="0" w:line="240" w:lineRule="auto"/>
      </w:pPr>
      <w:r>
        <w:continuationSeparator/>
      </w:r>
    </w:p>
  </w:footnote>
  <w:footnote w:type="continuationNotice" w:id="1">
    <w:p w14:paraId="61381A1A" w14:textId="77777777" w:rsidR="00EA03C0" w:rsidRDefault="00EA0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0CD8"/>
    <w:multiLevelType w:val="hybridMultilevel"/>
    <w:tmpl w:val="28F4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3DE3"/>
    <w:multiLevelType w:val="hybridMultilevel"/>
    <w:tmpl w:val="1318E33C"/>
    <w:lvl w:ilvl="0" w:tplc="C624E1AE">
      <w:start w:val="1"/>
      <w:numFmt w:val="lowerLetter"/>
      <w:lvlText w:val="%1."/>
      <w:lvlJc w:val="left"/>
      <w:pPr>
        <w:ind w:left="1620" w:hanging="360"/>
      </w:pPr>
      <w:rPr>
        <w:rFonts w:ascii="Century Schoolbook" w:eastAsiaTheme="minorHAnsi" w:hAnsi="Century Schoolbook" w:cs="Times New Roman" w:hint="default"/>
        <w:color w:val="000000"/>
      </w:rPr>
    </w:lvl>
    <w:lvl w:ilvl="1" w:tplc="FF9CD2EC">
      <w:start w:val="1"/>
      <w:numFmt w:val="lowerLetter"/>
      <w:lvlText w:val="%2."/>
      <w:lvlJc w:val="left"/>
      <w:pPr>
        <w:ind w:left="1530" w:hanging="360"/>
      </w:pPr>
      <w:rPr>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2C7116"/>
    <w:multiLevelType w:val="hybridMultilevel"/>
    <w:tmpl w:val="3D6A788C"/>
    <w:lvl w:ilvl="0" w:tplc="8946A6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16FE5"/>
    <w:multiLevelType w:val="hybridMultilevel"/>
    <w:tmpl w:val="D434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18D2"/>
    <w:multiLevelType w:val="hybridMultilevel"/>
    <w:tmpl w:val="8962F270"/>
    <w:lvl w:ilvl="0" w:tplc="F580D2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3108C"/>
    <w:multiLevelType w:val="hybridMultilevel"/>
    <w:tmpl w:val="9DD206D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2F09A8"/>
    <w:multiLevelType w:val="hybridMultilevel"/>
    <w:tmpl w:val="D370315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7" w15:restartNumberingAfterBreak="0">
    <w:nsid w:val="27760BEF"/>
    <w:multiLevelType w:val="hybridMultilevel"/>
    <w:tmpl w:val="A314B710"/>
    <w:lvl w:ilvl="0" w:tplc="54C0AE4E">
      <w:start w:val="1"/>
      <w:numFmt w:val="lowerLetter"/>
      <w:lvlText w:val="%1."/>
      <w:lvlJc w:val="left"/>
      <w:pPr>
        <w:ind w:left="1080" w:hanging="360"/>
      </w:pPr>
      <w:rPr>
        <w:rFonts w:ascii="Century Schoolbook" w:hAnsi="Century Schoolbook"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90280"/>
    <w:multiLevelType w:val="hybridMultilevel"/>
    <w:tmpl w:val="D186A02A"/>
    <w:lvl w:ilvl="0" w:tplc="46DA8806">
      <w:start w:val="17"/>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C22467"/>
    <w:multiLevelType w:val="hybridMultilevel"/>
    <w:tmpl w:val="72663FB0"/>
    <w:lvl w:ilvl="0" w:tplc="7EE24868">
      <w:start w:val="1"/>
      <w:numFmt w:val="lowerLetter"/>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07E97"/>
    <w:multiLevelType w:val="hybridMultilevel"/>
    <w:tmpl w:val="2758A4A6"/>
    <w:lvl w:ilvl="0" w:tplc="98E046B4">
      <w:start w:val="1"/>
      <w:numFmt w:val="lowerLetter"/>
      <w:lvlText w:val="%1."/>
      <w:lvlJc w:val="left"/>
      <w:pPr>
        <w:ind w:left="2160" w:hanging="360"/>
      </w:pPr>
      <w:rPr>
        <w:rFonts w:hint="default"/>
      </w:rPr>
    </w:lvl>
    <w:lvl w:ilvl="1" w:tplc="04090001">
      <w:start w:val="1"/>
      <w:numFmt w:val="bullet"/>
      <w:lvlText w:val=""/>
      <w:lvlJc w:val="left"/>
      <w:pPr>
        <w:ind w:left="2160" w:hanging="360"/>
      </w:pPr>
      <w:rPr>
        <w:rFonts w:ascii="Symbol" w:hAnsi="Symbol" w:hint="default"/>
        <w:sz w:val="24"/>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4C3227"/>
    <w:multiLevelType w:val="hybridMultilevel"/>
    <w:tmpl w:val="22DE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54891"/>
    <w:multiLevelType w:val="hybridMultilevel"/>
    <w:tmpl w:val="174E8B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62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2587A"/>
    <w:multiLevelType w:val="hybridMultilevel"/>
    <w:tmpl w:val="2D08DEDA"/>
    <w:lvl w:ilvl="0" w:tplc="04090019">
      <w:start w:val="1"/>
      <w:numFmt w:val="lowerLetter"/>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46529"/>
    <w:multiLevelType w:val="hybridMultilevel"/>
    <w:tmpl w:val="99802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5A0FE5"/>
    <w:multiLevelType w:val="hybridMultilevel"/>
    <w:tmpl w:val="68BA4940"/>
    <w:lvl w:ilvl="0" w:tplc="E502FF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0105BDC"/>
    <w:multiLevelType w:val="hybridMultilevel"/>
    <w:tmpl w:val="60D08292"/>
    <w:lvl w:ilvl="0" w:tplc="7A242670">
      <w:start w:val="1"/>
      <w:numFmt w:val="lowerLetter"/>
      <w:lvlText w:val="%1."/>
      <w:lvlJc w:val="left"/>
      <w:pPr>
        <w:ind w:left="21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B36CE8"/>
    <w:multiLevelType w:val="hybridMultilevel"/>
    <w:tmpl w:val="82A8E79E"/>
    <w:lvl w:ilvl="0" w:tplc="8946A6F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1"/>
  </w:num>
  <w:num w:numId="4">
    <w:abstractNumId w:val="12"/>
  </w:num>
  <w:num w:numId="5">
    <w:abstractNumId w:val="3"/>
  </w:num>
  <w:num w:numId="6">
    <w:abstractNumId w:val="14"/>
  </w:num>
  <w:num w:numId="7">
    <w:abstractNumId w:val="1"/>
  </w:num>
  <w:num w:numId="8">
    <w:abstractNumId w:val="4"/>
  </w:num>
  <w:num w:numId="9">
    <w:abstractNumId w:val="10"/>
  </w:num>
  <w:num w:numId="10">
    <w:abstractNumId w:val="2"/>
  </w:num>
  <w:num w:numId="11">
    <w:abstractNumId w:val="17"/>
  </w:num>
  <w:num w:numId="12">
    <w:abstractNumId w:val="12"/>
  </w:num>
  <w:num w:numId="13">
    <w:abstractNumId w:val="6"/>
  </w:num>
  <w:num w:numId="14">
    <w:abstractNumId w:val="12"/>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8"/>
  </w:num>
  <w:num w:numId="17">
    <w:abstractNumId w:val="15"/>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AF"/>
    <w:rsid w:val="00010A99"/>
    <w:rsid w:val="000140C5"/>
    <w:rsid w:val="00046529"/>
    <w:rsid w:val="00046F1A"/>
    <w:rsid w:val="00047E57"/>
    <w:rsid w:val="00052265"/>
    <w:rsid w:val="00061580"/>
    <w:rsid w:val="00077A46"/>
    <w:rsid w:val="000A371A"/>
    <w:rsid w:val="000C42FF"/>
    <w:rsid w:val="000E1156"/>
    <w:rsid w:val="000F3C3E"/>
    <w:rsid w:val="000F727B"/>
    <w:rsid w:val="0010083D"/>
    <w:rsid w:val="001224B2"/>
    <w:rsid w:val="00134E90"/>
    <w:rsid w:val="001576B0"/>
    <w:rsid w:val="0017191B"/>
    <w:rsid w:val="00171BAF"/>
    <w:rsid w:val="0017585A"/>
    <w:rsid w:val="001C7257"/>
    <w:rsid w:val="001D551B"/>
    <w:rsid w:val="001E1BDD"/>
    <w:rsid w:val="00203171"/>
    <w:rsid w:val="00204C9F"/>
    <w:rsid w:val="00253D13"/>
    <w:rsid w:val="00254959"/>
    <w:rsid w:val="00283758"/>
    <w:rsid w:val="00294283"/>
    <w:rsid w:val="002D4BB3"/>
    <w:rsid w:val="00306E87"/>
    <w:rsid w:val="003163A4"/>
    <w:rsid w:val="00322C1B"/>
    <w:rsid w:val="00327277"/>
    <w:rsid w:val="003307F8"/>
    <w:rsid w:val="00342533"/>
    <w:rsid w:val="003539DC"/>
    <w:rsid w:val="00361E3C"/>
    <w:rsid w:val="003643DC"/>
    <w:rsid w:val="0037114C"/>
    <w:rsid w:val="003B272A"/>
    <w:rsid w:val="003C5198"/>
    <w:rsid w:val="003E048F"/>
    <w:rsid w:val="003E293A"/>
    <w:rsid w:val="003F05D9"/>
    <w:rsid w:val="003F4826"/>
    <w:rsid w:val="003F7DBA"/>
    <w:rsid w:val="00402F25"/>
    <w:rsid w:val="00410F8E"/>
    <w:rsid w:val="00424B88"/>
    <w:rsid w:val="00447A9A"/>
    <w:rsid w:val="00457F52"/>
    <w:rsid w:val="0046690C"/>
    <w:rsid w:val="00472908"/>
    <w:rsid w:val="004861F8"/>
    <w:rsid w:val="004944D6"/>
    <w:rsid w:val="004A36DE"/>
    <w:rsid w:val="00550BCC"/>
    <w:rsid w:val="0057220E"/>
    <w:rsid w:val="005778E0"/>
    <w:rsid w:val="005D7329"/>
    <w:rsid w:val="00621AFC"/>
    <w:rsid w:val="006271FD"/>
    <w:rsid w:val="00635278"/>
    <w:rsid w:val="00650970"/>
    <w:rsid w:val="00656C96"/>
    <w:rsid w:val="0067520E"/>
    <w:rsid w:val="00680965"/>
    <w:rsid w:val="00680CED"/>
    <w:rsid w:val="006A6072"/>
    <w:rsid w:val="006C7519"/>
    <w:rsid w:val="006F341D"/>
    <w:rsid w:val="006F69EE"/>
    <w:rsid w:val="00706A79"/>
    <w:rsid w:val="0072185A"/>
    <w:rsid w:val="007247F8"/>
    <w:rsid w:val="007573EE"/>
    <w:rsid w:val="0076269C"/>
    <w:rsid w:val="00774312"/>
    <w:rsid w:val="00784FAF"/>
    <w:rsid w:val="007974A6"/>
    <w:rsid w:val="007A0448"/>
    <w:rsid w:val="007F6DBF"/>
    <w:rsid w:val="00816923"/>
    <w:rsid w:val="008342B5"/>
    <w:rsid w:val="00894AAC"/>
    <w:rsid w:val="008C30F3"/>
    <w:rsid w:val="00901FB3"/>
    <w:rsid w:val="00963258"/>
    <w:rsid w:val="00966014"/>
    <w:rsid w:val="00991D02"/>
    <w:rsid w:val="009B3AAB"/>
    <w:rsid w:val="009C5D0F"/>
    <w:rsid w:val="009C6750"/>
    <w:rsid w:val="009D15DA"/>
    <w:rsid w:val="00A00004"/>
    <w:rsid w:val="00A07011"/>
    <w:rsid w:val="00A26EAA"/>
    <w:rsid w:val="00A50CD0"/>
    <w:rsid w:val="00A91917"/>
    <w:rsid w:val="00AA7093"/>
    <w:rsid w:val="00AB6998"/>
    <w:rsid w:val="00AF4FA0"/>
    <w:rsid w:val="00AF5919"/>
    <w:rsid w:val="00B540B3"/>
    <w:rsid w:val="00B6063C"/>
    <w:rsid w:val="00B64FFF"/>
    <w:rsid w:val="00B65841"/>
    <w:rsid w:val="00B660F4"/>
    <w:rsid w:val="00B71F93"/>
    <w:rsid w:val="00B825B9"/>
    <w:rsid w:val="00BA733C"/>
    <w:rsid w:val="00BB497F"/>
    <w:rsid w:val="00BC018D"/>
    <w:rsid w:val="00BC49ED"/>
    <w:rsid w:val="00BD167A"/>
    <w:rsid w:val="00BE46E7"/>
    <w:rsid w:val="00C03121"/>
    <w:rsid w:val="00C04A21"/>
    <w:rsid w:val="00C40961"/>
    <w:rsid w:val="00C53A3E"/>
    <w:rsid w:val="00C55FE0"/>
    <w:rsid w:val="00CB1F25"/>
    <w:rsid w:val="00CC16C3"/>
    <w:rsid w:val="00CE60F8"/>
    <w:rsid w:val="00CF2D23"/>
    <w:rsid w:val="00D1471B"/>
    <w:rsid w:val="00D16E67"/>
    <w:rsid w:val="00D24004"/>
    <w:rsid w:val="00D2791F"/>
    <w:rsid w:val="00D5503B"/>
    <w:rsid w:val="00D62F62"/>
    <w:rsid w:val="00D652B0"/>
    <w:rsid w:val="00DA547A"/>
    <w:rsid w:val="00DC08EF"/>
    <w:rsid w:val="00DC26A2"/>
    <w:rsid w:val="00DF5A02"/>
    <w:rsid w:val="00E01DEF"/>
    <w:rsid w:val="00E07B32"/>
    <w:rsid w:val="00E35EBE"/>
    <w:rsid w:val="00E43FC6"/>
    <w:rsid w:val="00E61371"/>
    <w:rsid w:val="00E83CC1"/>
    <w:rsid w:val="00E951CF"/>
    <w:rsid w:val="00EA03C0"/>
    <w:rsid w:val="00ED62B0"/>
    <w:rsid w:val="00EF0F7A"/>
    <w:rsid w:val="00F0295B"/>
    <w:rsid w:val="00F06323"/>
    <w:rsid w:val="00F16170"/>
    <w:rsid w:val="00F23839"/>
    <w:rsid w:val="00F50C97"/>
    <w:rsid w:val="00F564E6"/>
    <w:rsid w:val="00F95843"/>
    <w:rsid w:val="00FB4A0B"/>
    <w:rsid w:val="00FE288B"/>
    <w:rsid w:val="00FE6973"/>
    <w:rsid w:val="00FF0CD1"/>
    <w:rsid w:val="00FF3D9D"/>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1DAD"/>
  <w15:docId w15:val="{39491114-C3C5-478A-831D-1C2E649E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B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1B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171BAF"/>
    <w:pPr>
      <w:ind w:left="720"/>
      <w:contextualSpacing/>
    </w:pPr>
  </w:style>
  <w:style w:type="paragraph" w:styleId="Footer">
    <w:name w:val="footer"/>
    <w:basedOn w:val="Normal"/>
    <w:link w:val="FooterChar"/>
    <w:uiPriority w:val="99"/>
    <w:unhideWhenUsed/>
    <w:rsid w:val="0017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AF"/>
  </w:style>
  <w:style w:type="paragraph" w:styleId="NoSpacing">
    <w:name w:val="No Spacing"/>
    <w:uiPriority w:val="1"/>
    <w:qFormat/>
    <w:rsid w:val="00171BAF"/>
    <w:pPr>
      <w:spacing w:after="0" w:line="240" w:lineRule="auto"/>
    </w:pPr>
  </w:style>
  <w:style w:type="paragraph" w:styleId="BalloonText">
    <w:name w:val="Balloon Text"/>
    <w:basedOn w:val="Normal"/>
    <w:link w:val="BalloonTextChar"/>
    <w:uiPriority w:val="99"/>
    <w:semiHidden/>
    <w:unhideWhenUsed/>
    <w:rsid w:val="000F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C3E"/>
    <w:rPr>
      <w:rFonts w:ascii="Segoe UI" w:hAnsi="Segoe UI" w:cs="Segoe UI"/>
      <w:sz w:val="18"/>
      <w:szCs w:val="18"/>
    </w:rPr>
  </w:style>
  <w:style w:type="character" w:styleId="Strong">
    <w:name w:val="Strong"/>
    <w:basedOn w:val="DefaultParagraphFont"/>
    <w:uiPriority w:val="22"/>
    <w:qFormat/>
    <w:rsid w:val="00550BCC"/>
    <w:rPr>
      <w:b/>
      <w:bCs/>
    </w:rPr>
  </w:style>
  <w:style w:type="character" w:styleId="Hyperlink">
    <w:name w:val="Hyperlink"/>
    <w:basedOn w:val="DefaultParagraphFont"/>
    <w:uiPriority w:val="99"/>
    <w:unhideWhenUsed/>
    <w:rsid w:val="00061580"/>
    <w:rPr>
      <w:color w:val="0563C1" w:themeColor="hyperlink"/>
      <w:u w:val="single"/>
    </w:rPr>
  </w:style>
  <w:style w:type="character" w:styleId="CommentReference">
    <w:name w:val="annotation reference"/>
    <w:basedOn w:val="DefaultParagraphFont"/>
    <w:uiPriority w:val="99"/>
    <w:semiHidden/>
    <w:unhideWhenUsed/>
    <w:rsid w:val="00D62F62"/>
    <w:rPr>
      <w:sz w:val="16"/>
      <w:szCs w:val="16"/>
    </w:rPr>
  </w:style>
  <w:style w:type="paragraph" w:styleId="CommentText">
    <w:name w:val="annotation text"/>
    <w:basedOn w:val="Normal"/>
    <w:link w:val="CommentTextChar"/>
    <w:uiPriority w:val="99"/>
    <w:semiHidden/>
    <w:unhideWhenUsed/>
    <w:rsid w:val="00D62F62"/>
    <w:pPr>
      <w:spacing w:line="240" w:lineRule="auto"/>
    </w:pPr>
    <w:rPr>
      <w:sz w:val="20"/>
      <w:szCs w:val="20"/>
    </w:rPr>
  </w:style>
  <w:style w:type="character" w:customStyle="1" w:styleId="CommentTextChar">
    <w:name w:val="Comment Text Char"/>
    <w:basedOn w:val="DefaultParagraphFont"/>
    <w:link w:val="CommentText"/>
    <w:uiPriority w:val="99"/>
    <w:semiHidden/>
    <w:rsid w:val="00D62F62"/>
    <w:rPr>
      <w:sz w:val="20"/>
      <w:szCs w:val="20"/>
    </w:rPr>
  </w:style>
  <w:style w:type="paragraph" w:styleId="CommentSubject">
    <w:name w:val="annotation subject"/>
    <w:basedOn w:val="CommentText"/>
    <w:next w:val="CommentText"/>
    <w:link w:val="CommentSubjectChar"/>
    <w:uiPriority w:val="99"/>
    <w:semiHidden/>
    <w:unhideWhenUsed/>
    <w:rsid w:val="00D62F62"/>
    <w:rPr>
      <w:b/>
      <w:bCs/>
    </w:rPr>
  </w:style>
  <w:style w:type="character" w:customStyle="1" w:styleId="CommentSubjectChar">
    <w:name w:val="Comment Subject Char"/>
    <w:basedOn w:val="CommentTextChar"/>
    <w:link w:val="CommentSubject"/>
    <w:uiPriority w:val="99"/>
    <w:semiHidden/>
    <w:rsid w:val="00D62F62"/>
    <w:rPr>
      <w:b/>
      <w:bCs/>
      <w:sz w:val="20"/>
      <w:szCs w:val="20"/>
    </w:rPr>
  </w:style>
  <w:style w:type="paragraph" w:styleId="BodyText">
    <w:name w:val="Body Text"/>
    <w:basedOn w:val="Normal"/>
    <w:link w:val="BodyTextChar"/>
    <w:uiPriority w:val="1"/>
    <w:qFormat/>
    <w:rsid w:val="00621AFC"/>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21AFC"/>
    <w:rPr>
      <w:rFonts w:ascii="Times New Roman" w:hAnsi="Times New Roman" w:cs="Times New Roman"/>
      <w:sz w:val="24"/>
      <w:szCs w:val="24"/>
    </w:rPr>
  </w:style>
  <w:style w:type="paragraph" w:customStyle="1" w:styleId="TableParagraph">
    <w:name w:val="Table Paragraph"/>
    <w:basedOn w:val="Normal"/>
    <w:uiPriority w:val="1"/>
    <w:qFormat/>
    <w:rsid w:val="00621AFC"/>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2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AFC"/>
  </w:style>
  <w:style w:type="character" w:styleId="FollowedHyperlink">
    <w:name w:val="FollowedHyperlink"/>
    <w:basedOn w:val="DefaultParagraphFont"/>
    <w:uiPriority w:val="99"/>
    <w:semiHidden/>
    <w:unhideWhenUsed/>
    <w:rsid w:val="00706A79"/>
    <w:rPr>
      <w:color w:val="954F72" w:themeColor="followedHyperlink"/>
      <w:u w:val="single"/>
    </w:rPr>
  </w:style>
  <w:style w:type="paragraph" w:styleId="Revision">
    <w:name w:val="Revision"/>
    <w:hidden/>
    <w:uiPriority w:val="99"/>
    <w:semiHidden/>
    <w:rsid w:val="00F50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4887">
      <w:bodyDiv w:val="1"/>
      <w:marLeft w:val="0"/>
      <w:marRight w:val="0"/>
      <w:marTop w:val="0"/>
      <w:marBottom w:val="0"/>
      <w:divBdr>
        <w:top w:val="none" w:sz="0" w:space="0" w:color="auto"/>
        <w:left w:val="none" w:sz="0" w:space="0" w:color="auto"/>
        <w:bottom w:val="none" w:sz="0" w:space="0" w:color="auto"/>
        <w:right w:val="none" w:sz="0" w:space="0" w:color="auto"/>
      </w:divBdr>
    </w:div>
    <w:div w:id="1422481364">
      <w:bodyDiv w:val="1"/>
      <w:marLeft w:val="0"/>
      <w:marRight w:val="0"/>
      <w:marTop w:val="0"/>
      <w:marBottom w:val="0"/>
      <w:divBdr>
        <w:top w:val="none" w:sz="0" w:space="0" w:color="auto"/>
        <w:left w:val="none" w:sz="0" w:space="0" w:color="auto"/>
        <w:bottom w:val="none" w:sz="0" w:space="0" w:color="auto"/>
        <w:right w:val="none" w:sz="0" w:space="0" w:color="auto"/>
      </w:divBdr>
    </w:div>
    <w:div w:id="189133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t.gov/occ/site/default.asp" TargetMode="External"/><Relationship Id="rId4" Type="http://schemas.openxmlformats.org/officeDocument/2006/relationships/settings" Target="settings.xml"/><Relationship Id="rId9" Type="http://schemas.openxmlformats.org/officeDocument/2006/relationships/image" Target="cid:image001.jpg@01D30AC5.4635EA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0602-C467-40A5-A6B0-21C7A92D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19</Pages>
  <Words>6261</Words>
  <Characters>35689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Maas</dc:creator>
  <cp:keywords/>
  <dc:description/>
  <cp:lastModifiedBy>Melody Mendez</cp:lastModifiedBy>
  <cp:revision>32</cp:revision>
  <cp:lastPrinted>2019-08-23T12:50:00Z</cp:lastPrinted>
  <dcterms:created xsi:type="dcterms:W3CDTF">2018-08-30T14:39:00Z</dcterms:created>
  <dcterms:modified xsi:type="dcterms:W3CDTF">2020-02-20T16:19:00Z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