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695B5" w14:textId="77777777" w:rsidR="002434F1" w:rsidRDefault="002434F1"/>
    <w:p w14:paraId="67BA380A" w14:textId="77777777" w:rsidR="007E03CB" w:rsidRDefault="007E03CB" w:rsidP="004A402B">
      <w:pPr>
        <w:jc w:val="center"/>
      </w:pPr>
      <w:r>
        <w:rPr>
          <w:noProof/>
        </w:rPr>
        <w:drawing>
          <wp:inline distT="0" distB="0" distL="0" distR="0" wp14:anchorId="5EB4F093" wp14:editId="5E7E1B6E">
            <wp:extent cx="5797550" cy="824541"/>
            <wp:effectExtent l="0" t="0" r="0" b="0"/>
            <wp:docPr id="1" name="Picture 0" descr="OCC Letterhea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 Letterheadheader.jpg"/>
                    <pic:cNvPicPr/>
                  </pic:nvPicPr>
                  <pic:blipFill>
                    <a:blip r:embed="rId8"/>
                    <a:stretch>
                      <a:fillRect/>
                    </a:stretch>
                  </pic:blipFill>
                  <pic:spPr>
                    <a:xfrm>
                      <a:off x="0" y="0"/>
                      <a:ext cx="5797550" cy="824541"/>
                    </a:xfrm>
                    <a:prstGeom prst="rect">
                      <a:avLst/>
                    </a:prstGeom>
                  </pic:spPr>
                </pic:pic>
              </a:graphicData>
            </a:graphic>
          </wp:inline>
        </w:drawing>
      </w:r>
    </w:p>
    <w:p w14:paraId="6E04B810" w14:textId="77777777" w:rsidR="00084232" w:rsidRDefault="001D46AC" w:rsidP="00CC75B1">
      <w:pPr>
        <w:spacing w:after="0" w:line="240" w:lineRule="auto"/>
        <w:ind w:right="-1440"/>
        <w:rPr>
          <w:rFonts w:ascii="Times New Roman" w:eastAsia="Times New Roman" w:hAnsi="Times New Roman" w:cs="Times New Roman"/>
          <w:bCs/>
          <w:sz w:val="18"/>
          <w:szCs w:val="20"/>
        </w:rPr>
      </w:pPr>
      <w:r w:rsidRPr="001D46AC">
        <w:rPr>
          <w:rFonts w:ascii="Times New Roman" w:eastAsia="Times New Roman" w:hAnsi="Times New Roman" w:cs="Times New Roman"/>
          <w:bCs/>
          <w:sz w:val="18"/>
          <w:szCs w:val="20"/>
        </w:rPr>
        <w:t xml:space="preserve"> </w:t>
      </w:r>
    </w:p>
    <w:p w14:paraId="46163540" w14:textId="77777777" w:rsidR="00084232" w:rsidRDefault="00084232" w:rsidP="00CC75B1">
      <w:pPr>
        <w:spacing w:after="0" w:line="240" w:lineRule="auto"/>
        <w:ind w:right="-1440"/>
        <w:rPr>
          <w:rFonts w:ascii="Times New Roman" w:eastAsia="Times New Roman" w:hAnsi="Times New Roman" w:cs="Times New Roman"/>
          <w:bCs/>
          <w:sz w:val="18"/>
          <w:szCs w:val="20"/>
        </w:rPr>
      </w:pPr>
    </w:p>
    <w:p w14:paraId="5D05A068" w14:textId="59D982FD" w:rsidR="001D46AC" w:rsidRDefault="001D46AC" w:rsidP="00CC75B1">
      <w:pPr>
        <w:spacing w:after="0" w:line="240" w:lineRule="auto"/>
        <w:ind w:right="-1440"/>
        <w:rPr>
          <w:rFonts w:ascii="Times New Roman" w:eastAsia="Times New Roman" w:hAnsi="Times New Roman" w:cs="Times New Roman"/>
          <w:sz w:val="24"/>
          <w:szCs w:val="20"/>
        </w:rPr>
      </w:pPr>
      <w:r w:rsidRPr="001D46AC">
        <w:rPr>
          <w:rFonts w:ascii="Times New Roman" w:eastAsia="Times New Roman" w:hAnsi="Times New Roman" w:cs="Times New Roman"/>
          <w:bCs/>
          <w:sz w:val="18"/>
          <w:szCs w:val="20"/>
        </w:rPr>
        <w:t xml:space="preserve"> </w:t>
      </w:r>
      <w:r w:rsidR="00041991">
        <w:rPr>
          <w:rFonts w:ascii="Times New Roman" w:eastAsia="Times New Roman" w:hAnsi="Times New Roman" w:cs="Times New Roman"/>
          <w:sz w:val="24"/>
          <w:szCs w:val="20"/>
        </w:rPr>
        <w:t>January 30</w:t>
      </w:r>
      <w:r w:rsidR="00977555">
        <w:rPr>
          <w:rFonts w:ascii="Times New Roman" w:eastAsia="Times New Roman" w:hAnsi="Times New Roman" w:cs="Times New Roman"/>
          <w:sz w:val="24"/>
          <w:szCs w:val="20"/>
        </w:rPr>
        <w:t>, 20</w:t>
      </w:r>
      <w:r w:rsidR="007E026E">
        <w:rPr>
          <w:rFonts w:ascii="Times New Roman" w:eastAsia="Times New Roman" w:hAnsi="Times New Roman" w:cs="Times New Roman"/>
          <w:sz w:val="24"/>
          <w:szCs w:val="20"/>
        </w:rPr>
        <w:t>20</w:t>
      </w:r>
    </w:p>
    <w:p w14:paraId="3BE78C8C" w14:textId="00901283" w:rsidR="00CC75B1" w:rsidRPr="00CC75B1" w:rsidRDefault="00CC75B1" w:rsidP="00CC75B1">
      <w:pPr>
        <w:spacing w:after="0" w:line="240" w:lineRule="auto"/>
        <w:ind w:right="-1440"/>
        <w:rPr>
          <w:rFonts w:ascii="Times New Roman" w:eastAsia="Times New Roman" w:hAnsi="Times New Roman" w:cs="Times New Roman"/>
          <w:sz w:val="18"/>
          <w:szCs w:val="20"/>
          <w:lang w:val="fr-FR"/>
        </w:rPr>
      </w:pPr>
      <w:r>
        <w:rPr>
          <w:rFonts w:ascii="Times New Roman" w:eastAsia="Times New Roman" w:hAnsi="Times New Roman" w:cs="Times New Roman"/>
          <w:sz w:val="24"/>
          <w:szCs w:val="20"/>
        </w:rPr>
        <w:t xml:space="preserve"> </w:t>
      </w:r>
      <w:r w:rsidR="007E026E">
        <w:rPr>
          <w:rFonts w:ascii="Times New Roman" w:eastAsia="Times New Roman" w:hAnsi="Times New Roman" w:cs="Times New Roman"/>
          <w:sz w:val="24"/>
          <w:szCs w:val="20"/>
        </w:rPr>
        <w:t>Richard E. Sobolewski</w:t>
      </w:r>
      <w:r>
        <w:rPr>
          <w:rFonts w:ascii="Times New Roman" w:eastAsia="Times New Roman" w:hAnsi="Times New Roman" w:cs="Times New Roman"/>
          <w:sz w:val="24"/>
          <w:szCs w:val="20"/>
        </w:rPr>
        <w:t xml:space="preserve">, </w:t>
      </w:r>
      <w:r w:rsidR="007E026E">
        <w:rPr>
          <w:rFonts w:ascii="Times New Roman" w:eastAsia="Times New Roman" w:hAnsi="Times New Roman" w:cs="Times New Roman"/>
          <w:sz w:val="24"/>
          <w:szCs w:val="20"/>
        </w:rPr>
        <w:t xml:space="preserve">Acting </w:t>
      </w:r>
      <w:r>
        <w:rPr>
          <w:rFonts w:ascii="Times New Roman" w:eastAsia="Times New Roman" w:hAnsi="Times New Roman" w:cs="Times New Roman"/>
          <w:sz w:val="24"/>
          <w:szCs w:val="20"/>
        </w:rPr>
        <w:t xml:space="preserve">Consumer Counsel, </w:t>
      </w:r>
      <w:hyperlink r:id="rId9" w:history="1">
        <w:r w:rsidR="007E026E" w:rsidRPr="007E026E">
          <w:rPr>
            <w:rStyle w:val="Hyperlink"/>
            <w:rFonts w:ascii="Times New Roman" w:eastAsia="Times New Roman" w:hAnsi="Times New Roman" w:cs="Times New Roman"/>
            <w:sz w:val="24"/>
            <w:szCs w:val="20"/>
          </w:rPr>
          <w:t>Richard.Sobolewski</w:t>
        </w:r>
        <w:r w:rsidR="007E026E" w:rsidRPr="00A0671B">
          <w:rPr>
            <w:rStyle w:val="Hyperlink"/>
            <w:rFonts w:ascii="Times New Roman" w:eastAsia="Times New Roman" w:hAnsi="Times New Roman" w:cs="Times New Roman"/>
            <w:sz w:val="24"/>
            <w:szCs w:val="20"/>
          </w:rPr>
          <w:t>@ct.gov</w:t>
        </w:r>
      </w:hyperlink>
      <w:r>
        <w:rPr>
          <w:rFonts w:ascii="Times New Roman" w:eastAsia="Times New Roman" w:hAnsi="Times New Roman" w:cs="Times New Roman"/>
          <w:sz w:val="24"/>
          <w:szCs w:val="20"/>
        </w:rPr>
        <w:t xml:space="preserve"> </w:t>
      </w:r>
    </w:p>
    <w:p w14:paraId="3D07BDBD" w14:textId="77777777" w:rsidR="001D46AC" w:rsidRPr="001D46AC" w:rsidRDefault="001D46AC" w:rsidP="001D46AC">
      <w:pPr>
        <w:spacing w:after="0" w:line="240" w:lineRule="auto"/>
        <w:rPr>
          <w:rFonts w:ascii="Times New Roman" w:eastAsia="Times New Roman" w:hAnsi="Times New Roman" w:cs="Times New Roman"/>
          <w:sz w:val="24"/>
          <w:szCs w:val="24"/>
        </w:rPr>
      </w:pPr>
    </w:p>
    <w:p w14:paraId="6D06BE32" w14:textId="77777777" w:rsidR="00712E11" w:rsidRDefault="00712E11" w:rsidP="00712E11">
      <w:pPr>
        <w:spacing w:after="0" w:line="240" w:lineRule="auto"/>
        <w:ind w:left="3960" w:firstLine="360"/>
        <w:rPr>
          <w:rFonts w:ascii="Times New Roman" w:eastAsia="Times New Roman" w:hAnsi="Times New Roman" w:cs="Times New Roman"/>
          <w:sz w:val="24"/>
          <w:szCs w:val="24"/>
        </w:rPr>
      </w:pPr>
      <w:bookmarkStart w:id="0" w:name="_GoBack"/>
      <w:r w:rsidRPr="00712E11">
        <w:rPr>
          <w:rFonts w:ascii="Times New Roman" w:eastAsia="Times New Roman" w:hAnsi="Times New Roman" w:cs="Times New Roman"/>
          <w:b/>
          <w:sz w:val="24"/>
          <w:szCs w:val="24"/>
          <w:u w:val="single"/>
        </w:rPr>
        <w:t>OCC FACT SHEET</w:t>
      </w:r>
      <w:r>
        <w:rPr>
          <w:rFonts w:ascii="Times New Roman" w:eastAsia="Times New Roman" w:hAnsi="Times New Roman" w:cs="Times New Roman"/>
          <w:sz w:val="24"/>
          <w:szCs w:val="24"/>
        </w:rPr>
        <w:t>:</w:t>
      </w:r>
    </w:p>
    <w:p w14:paraId="36BB6965" w14:textId="3019179E" w:rsidR="00712E11" w:rsidRDefault="00CC75B1" w:rsidP="00CB054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In Support of </w:t>
      </w:r>
      <w:r w:rsidR="00327674">
        <w:rPr>
          <w:rFonts w:ascii="Times New Roman" w:eastAsia="Times New Roman" w:hAnsi="Times New Roman" w:cs="Times New Roman"/>
          <w:i/>
          <w:sz w:val="24"/>
          <w:szCs w:val="24"/>
        </w:rPr>
        <w:t xml:space="preserve">Increased Consumer Protection for </w:t>
      </w:r>
      <w:r w:rsidR="00712E11" w:rsidRPr="00712E11">
        <w:rPr>
          <w:rFonts w:ascii="Times New Roman" w:eastAsia="Times New Roman" w:hAnsi="Times New Roman" w:cs="Times New Roman"/>
          <w:i/>
          <w:sz w:val="24"/>
          <w:szCs w:val="24"/>
        </w:rPr>
        <w:t>the Residential Retail Choice Electric Supply Market</w:t>
      </w:r>
    </w:p>
    <w:bookmarkEnd w:id="0"/>
    <w:p w14:paraId="4EC70A74" w14:textId="77777777" w:rsidR="00E10412" w:rsidRPr="00E10412" w:rsidRDefault="00E10412" w:rsidP="00206EEC">
      <w:pPr>
        <w:spacing w:after="0"/>
        <w:ind w:left="1080" w:firstLine="360"/>
        <w:rPr>
          <w:rFonts w:ascii="Times New Roman" w:eastAsia="Times New Roman" w:hAnsi="Times New Roman" w:cs="Times New Roman"/>
          <w:i/>
          <w:sz w:val="24"/>
          <w:szCs w:val="24"/>
        </w:rPr>
      </w:pPr>
    </w:p>
    <w:p w14:paraId="44E8D7E9" w14:textId="77777777" w:rsidR="00712E11" w:rsidRDefault="00712E11" w:rsidP="00206EEC">
      <w:pPr>
        <w:pStyle w:val="ListParagraph"/>
        <w:numPr>
          <w:ilvl w:val="0"/>
          <w:numId w:val="4"/>
        </w:numPr>
        <w:rPr>
          <w:rFonts w:ascii="Times New Roman" w:hAnsi="Times New Roman" w:cs="Times New Roman"/>
          <w:sz w:val="24"/>
          <w:szCs w:val="24"/>
        </w:rPr>
      </w:pPr>
      <w:r w:rsidRPr="00A86C78">
        <w:rPr>
          <w:rFonts w:ascii="Times New Roman" w:hAnsi="Times New Roman" w:cs="Times New Roman"/>
          <w:b/>
          <w:sz w:val="24"/>
          <w:szCs w:val="24"/>
          <w:u w:val="single"/>
        </w:rPr>
        <w:t>Economic Harm</w:t>
      </w:r>
      <w:r>
        <w:rPr>
          <w:rFonts w:ascii="Times New Roman" w:hAnsi="Times New Roman" w:cs="Times New Roman"/>
          <w:sz w:val="24"/>
          <w:szCs w:val="24"/>
        </w:rPr>
        <w:t xml:space="preserve">: CT’s Economy is </w:t>
      </w:r>
      <w:r w:rsidR="00E10412">
        <w:rPr>
          <w:rFonts w:ascii="Times New Roman" w:hAnsi="Times New Roman" w:cs="Times New Roman"/>
          <w:sz w:val="24"/>
          <w:szCs w:val="24"/>
        </w:rPr>
        <w:t xml:space="preserve">Thwarted </w:t>
      </w:r>
      <w:r>
        <w:rPr>
          <w:rFonts w:ascii="Times New Roman" w:hAnsi="Times New Roman" w:cs="Times New Roman"/>
          <w:sz w:val="24"/>
          <w:szCs w:val="24"/>
        </w:rPr>
        <w:t xml:space="preserve">by Residential </w:t>
      </w:r>
      <w:r w:rsidR="00233D2A">
        <w:rPr>
          <w:rFonts w:ascii="Times New Roman" w:hAnsi="Times New Roman" w:cs="Times New Roman"/>
          <w:sz w:val="24"/>
          <w:szCs w:val="24"/>
        </w:rPr>
        <w:t xml:space="preserve">Electric </w:t>
      </w:r>
      <w:r>
        <w:rPr>
          <w:rFonts w:ascii="Times New Roman" w:hAnsi="Times New Roman" w:cs="Times New Roman"/>
          <w:sz w:val="24"/>
          <w:szCs w:val="24"/>
        </w:rPr>
        <w:t>Retail Choice</w:t>
      </w:r>
      <w:r w:rsidR="00F01FEA">
        <w:rPr>
          <w:rFonts w:ascii="Times New Roman" w:hAnsi="Times New Roman" w:cs="Times New Roman"/>
          <w:sz w:val="24"/>
          <w:szCs w:val="24"/>
        </w:rPr>
        <w:t xml:space="preserve"> </w:t>
      </w:r>
    </w:p>
    <w:p w14:paraId="33AFE255" w14:textId="30790A1B" w:rsidR="00834234" w:rsidRDefault="00E10412" w:rsidP="00206EEC">
      <w:pPr>
        <w:pStyle w:val="ListParagrap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712E11">
        <w:rPr>
          <w:rFonts w:ascii="Times New Roman" w:hAnsi="Times New Roman" w:cs="Times New Roman"/>
          <w:sz w:val="24"/>
          <w:szCs w:val="24"/>
        </w:rPr>
        <w:t>OCC</w:t>
      </w:r>
      <w:r w:rsidR="00834234">
        <w:rPr>
          <w:rFonts w:ascii="Times New Roman" w:hAnsi="Times New Roman" w:cs="Times New Roman"/>
          <w:sz w:val="24"/>
          <w:szCs w:val="24"/>
        </w:rPr>
        <w:t xml:space="preserve"> Analysis</w:t>
      </w:r>
      <w:r w:rsidR="00095050">
        <w:rPr>
          <w:rFonts w:ascii="Times New Roman" w:hAnsi="Times New Roman" w:cs="Times New Roman"/>
          <w:sz w:val="24"/>
          <w:szCs w:val="24"/>
        </w:rPr>
        <w:t>: From Approximately 2015</w:t>
      </w:r>
      <w:r w:rsidR="00F01FEA">
        <w:rPr>
          <w:rFonts w:ascii="Times New Roman" w:hAnsi="Times New Roman" w:cs="Times New Roman"/>
          <w:sz w:val="24"/>
          <w:szCs w:val="24"/>
        </w:rPr>
        <w:t>-201</w:t>
      </w:r>
      <w:r w:rsidR="00A0671B">
        <w:rPr>
          <w:rFonts w:ascii="Times New Roman" w:hAnsi="Times New Roman" w:cs="Times New Roman"/>
          <w:sz w:val="24"/>
          <w:szCs w:val="24"/>
        </w:rPr>
        <w:t>9</w:t>
      </w:r>
      <w:r w:rsidR="00F01FEA">
        <w:rPr>
          <w:rFonts w:ascii="Times New Roman" w:hAnsi="Times New Roman" w:cs="Times New Roman"/>
          <w:sz w:val="24"/>
          <w:szCs w:val="24"/>
        </w:rPr>
        <w:t>, CT Consumers with Third-P</w:t>
      </w:r>
      <w:r w:rsidR="00834234">
        <w:rPr>
          <w:rFonts w:ascii="Times New Roman" w:hAnsi="Times New Roman" w:cs="Times New Roman"/>
          <w:sz w:val="24"/>
          <w:szCs w:val="24"/>
        </w:rPr>
        <w:t xml:space="preserve">arty Electric </w:t>
      </w:r>
    </w:p>
    <w:p w14:paraId="7D8AA4CD" w14:textId="5147A70E" w:rsidR="00712E11" w:rsidRDefault="00834234" w:rsidP="00CB054B">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Suppliers Have Paid </w:t>
      </w:r>
      <w:proofErr w:type="gramStart"/>
      <w:r w:rsidR="000A4E47">
        <w:rPr>
          <w:rFonts w:ascii="Times New Roman" w:hAnsi="Times New Roman" w:cs="Times New Roman"/>
          <w:sz w:val="24"/>
          <w:szCs w:val="24"/>
        </w:rPr>
        <w:t>An</w:t>
      </w:r>
      <w:proofErr w:type="gramEnd"/>
      <w:r w:rsidR="000A4E47">
        <w:rPr>
          <w:rFonts w:ascii="Times New Roman" w:hAnsi="Times New Roman" w:cs="Times New Roman"/>
          <w:sz w:val="24"/>
          <w:szCs w:val="24"/>
        </w:rPr>
        <w:t xml:space="preserve"> Estimated </w:t>
      </w:r>
      <w:r w:rsidRPr="00834234">
        <w:rPr>
          <w:rFonts w:ascii="Times New Roman" w:hAnsi="Times New Roman" w:cs="Times New Roman"/>
          <w:b/>
          <w:sz w:val="24"/>
          <w:szCs w:val="24"/>
          <w:u w:val="single"/>
        </w:rPr>
        <w:t>$2</w:t>
      </w:r>
      <w:r w:rsidR="0028660A">
        <w:rPr>
          <w:rFonts w:ascii="Times New Roman" w:hAnsi="Times New Roman" w:cs="Times New Roman"/>
          <w:b/>
          <w:sz w:val="24"/>
          <w:szCs w:val="24"/>
          <w:u w:val="single"/>
        </w:rPr>
        <w:t>40</w:t>
      </w:r>
      <w:r w:rsidR="007B0248">
        <w:rPr>
          <w:rFonts w:ascii="Times New Roman" w:hAnsi="Times New Roman" w:cs="Times New Roman"/>
          <w:b/>
          <w:sz w:val="24"/>
          <w:szCs w:val="24"/>
          <w:u w:val="single"/>
        </w:rPr>
        <w:t xml:space="preserve"> Million</w:t>
      </w:r>
      <w:r>
        <w:rPr>
          <w:rFonts w:ascii="Times New Roman" w:hAnsi="Times New Roman" w:cs="Times New Roman"/>
          <w:sz w:val="24"/>
          <w:szCs w:val="24"/>
        </w:rPr>
        <w:t xml:space="preserve"> More Than Consumers on Utility Standard </w:t>
      </w:r>
      <w:r w:rsidR="00CB054B">
        <w:rPr>
          <w:rFonts w:ascii="Times New Roman" w:hAnsi="Times New Roman" w:cs="Times New Roman"/>
          <w:sz w:val="24"/>
          <w:szCs w:val="24"/>
        </w:rPr>
        <w:t xml:space="preserve">  </w:t>
      </w:r>
      <w:r>
        <w:rPr>
          <w:rFonts w:ascii="Times New Roman" w:hAnsi="Times New Roman" w:cs="Times New Roman"/>
          <w:sz w:val="24"/>
          <w:szCs w:val="24"/>
        </w:rPr>
        <w:t>Service</w:t>
      </w:r>
    </w:p>
    <w:p w14:paraId="4AE14914" w14:textId="77777777" w:rsidR="00834234" w:rsidRDefault="00834234" w:rsidP="00206EEC">
      <w:pPr>
        <w:pStyle w:val="ListParagraph"/>
        <w:ind w:firstLine="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 xml:space="preserve">2015: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$58,263,855 Overpayment</w:t>
      </w:r>
    </w:p>
    <w:p w14:paraId="3FBD60CD" w14:textId="77777777" w:rsidR="00834234" w:rsidRDefault="00834234" w:rsidP="00206EEC">
      <w:pPr>
        <w:pStyle w:val="ListParagraph"/>
        <w:ind w:firstLine="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2016: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$59,011,285 Overpayment</w:t>
      </w:r>
    </w:p>
    <w:p w14:paraId="5F377ED3" w14:textId="77777777" w:rsidR="00834234" w:rsidRDefault="00834234" w:rsidP="00206EEC">
      <w:pPr>
        <w:pStyle w:val="ListParagraph"/>
        <w:ind w:firstLine="72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$46,316,174 Overpayment</w:t>
      </w:r>
    </w:p>
    <w:p w14:paraId="6F094322" w14:textId="761DFF4B" w:rsidR="00834234" w:rsidRDefault="000556A9" w:rsidP="00251239">
      <w:pPr>
        <w:pStyle w:val="ListParagraph"/>
        <w:tabs>
          <w:tab w:val="left" w:pos="3960"/>
        </w:tabs>
        <w:ind w:firstLine="720"/>
        <w:rPr>
          <w:rFonts w:ascii="Times New Roman" w:hAnsi="Times New Roman" w:cs="Times New Roman"/>
          <w:sz w:val="24"/>
          <w:szCs w:val="24"/>
        </w:rPr>
      </w:pPr>
      <w:r>
        <w:rPr>
          <w:rFonts w:ascii="Times New Roman" w:hAnsi="Times New Roman" w:cs="Times New Roman"/>
          <w:sz w:val="24"/>
          <w:szCs w:val="24"/>
        </w:rPr>
        <w:t xml:space="preserve">iv.        </w:t>
      </w:r>
      <w:r w:rsidR="0028660A">
        <w:rPr>
          <w:rFonts w:ascii="Times New Roman" w:hAnsi="Times New Roman" w:cs="Times New Roman"/>
          <w:sz w:val="24"/>
          <w:szCs w:val="24"/>
        </w:rPr>
        <w:t>2018:</w:t>
      </w:r>
      <w:r w:rsidR="00834234">
        <w:rPr>
          <w:rFonts w:ascii="Times New Roman" w:hAnsi="Times New Roman" w:cs="Times New Roman"/>
          <w:sz w:val="24"/>
          <w:szCs w:val="24"/>
        </w:rPr>
        <w:tab/>
      </w:r>
      <w:r>
        <w:rPr>
          <w:rFonts w:ascii="Times New Roman" w:hAnsi="Times New Roman" w:cs="Times New Roman"/>
          <w:sz w:val="24"/>
          <w:szCs w:val="24"/>
        </w:rPr>
        <w:tab/>
      </w:r>
      <w:r w:rsidR="00834234">
        <w:rPr>
          <w:rFonts w:ascii="Times New Roman" w:hAnsi="Times New Roman" w:cs="Times New Roman"/>
          <w:sz w:val="24"/>
          <w:szCs w:val="24"/>
        </w:rPr>
        <w:t>$38,</w:t>
      </w:r>
      <w:r w:rsidR="0028660A">
        <w:rPr>
          <w:rFonts w:ascii="Times New Roman" w:hAnsi="Times New Roman" w:cs="Times New Roman"/>
          <w:sz w:val="24"/>
          <w:szCs w:val="24"/>
        </w:rPr>
        <w:t>564</w:t>
      </w:r>
      <w:r w:rsidR="00834234">
        <w:rPr>
          <w:rFonts w:ascii="Times New Roman" w:hAnsi="Times New Roman" w:cs="Times New Roman"/>
          <w:sz w:val="24"/>
          <w:szCs w:val="24"/>
        </w:rPr>
        <w:t>,</w:t>
      </w:r>
      <w:r w:rsidR="0028660A">
        <w:rPr>
          <w:rFonts w:ascii="Times New Roman" w:hAnsi="Times New Roman" w:cs="Times New Roman"/>
          <w:sz w:val="24"/>
          <w:szCs w:val="24"/>
        </w:rPr>
        <w:t>580</w:t>
      </w:r>
      <w:r w:rsidR="00834234">
        <w:rPr>
          <w:rFonts w:ascii="Times New Roman" w:hAnsi="Times New Roman" w:cs="Times New Roman"/>
          <w:sz w:val="24"/>
          <w:szCs w:val="24"/>
        </w:rPr>
        <w:t xml:space="preserve"> Overpayment</w:t>
      </w:r>
    </w:p>
    <w:p w14:paraId="0310ED77" w14:textId="71B143F7" w:rsidR="0028660A" w:rsidRDefault="0028660A" w:rsidP="00251239">
      <w:pPr>
        <w:pStyle w:val="ListParagraph"/>
        <w:tabs>
          <w:tab w:val="left" w:pos="3960"/>
        </w:tabs>
        <w:ind w:firstLine="720"/>
        <w:rPr>
          <w:rFonts w:ascii="Times New Roman" w:hAnsi="Times New Roman" w:cs="Times New Roman"/>
          <w:sz w:val="24"/>
          <w:szCs w:val="24"/>
        </w:rPr>
      </w:pPr>
      <w:r>
        <w:rPr>
          <w:rFonts w:ascii="Times New Roman" w:hAnsi="Times New Roman" w:cs="Times New Roman"/>
          <w:sz w:val="24"/>
          <w:szCs w:val="24"/>
        </w:rPr>
        <w:t>v.         2019:</w:t>
      </w:r>
      <w:r>
        <w:rPr>
          <w:rFonts w:ascii="Times New Roman" w:hAnsi="Times New Roman" w:cs="Times New Roman"/>
          <w:sz w:val="24"/>
          <w:szCs w:val="24"/>
        </w:rPr>
        <w:tab/>
        <w:t xml:space="preserve">      $38,615,680 Overpayment</w:t>
      </w:r>
    </w:p>
    <w:p w14:paraId="5161716D" w14:textId="727C4F52" w:rsidR="009C3707" w:rsidRDefault="002F7BF6" w:rsidP="00251239">
      <w:pPr>
        <w:pStyle w:val="ListParagraph"/>
        <w:tabs>
          <w:tab w:val="left" w:pos="3960"/>
        </w:tabs>
        <w:ind w:firstLine="720"/>
        <w:rPr>
          <w:rFonts w:ascii="Times New Roman" w:hAnsi="Times New Roman" w:cs="Times New Roman"/>
          <w:sz w:val="24"/>
          <w:szCs w:val="24"/>
        </w:rPr>
      </w:pPr>
      <w:r>
        <w:rPr>
          <w:rFonts w:ascii="Times New Roman" w:hAnsi="Times New Roman" w:cs="Times New Roman"/>
          <w:sz w:val="24"/>
          <w:szCs w:val="24"/>
        </w:rPr>
        <w:t>Note: the overpayment figures from 2015-201</w:t>
      </w:r>
      <w:r w:rsidR="0028660A">
        <w:rPr>
          <w:rFonts w:ascii="Times New Roman" w:hAnsi="Times New Roman" w:cs="Times New Roman"/>
          <w:sz w:val="24"/>
          <w:szCs w:val="24"/>
        </w:rPr>
        <w:t>9</w:t>
      </w:r>
      <w:r>
        <w:rPr>
          <w:rFonts w:ascii="Times New Roman" w:hAnsi="Times New Roman" w:cs="Times New Roman"/>
          <w:sz w:val="24"/>
          <w:szCs w:val="24"/>
        </w:rPr>
        <w:t xml:space="preserve"> have </w:t>
      </w:r>
      <w:r w:rsidR="009C3707">
        <w:rPr>
          <w:rFonts w:ascii="Times New Roman" w:hAnsi="Times New Roman" w:cs="Times New Roman"/>
          <w:sz w:val="24"/>
          <w:szCs w:val="24"/>
        </w:rPr>
        <w:t xml:space="preserve">subsided somewhat </w:t>
      </w:r>
      <w:r>
        <w:rPr>
          <w:rFonts w:ascii="Times New Roman" w:hAnsi="Times New Roman" w:cs="Times New Roman"/>
          <w:sz w:val="24"/>
          <w:szCs w:val="24"/>
        </w:rPr>
        <w:t xml:space="preserve">due </w:t>
      </w:r>
      <w:r w:rsidR="009C3707">
        <w:rPr>
          <w:rFonts w:ascii="Times New Roman" w:hAnsi="Times New Roman" w:cs="Times New Roman"/>
          <w:sz w:val="24"/>
          <w:szCs w:val="24"/>
        </w:rPr>
        <w:t xml:space="preserve">primarily </w:t>
      </w:r>
      <w:r>
        <w:rPr>
          <w:rFonts w:ascii="Times New Roman" w:hAnsi="Times New Roman" w:cs="Times New Roman"/>
          <w:sz w:val="24"/>
          <w:szCs w:val="24"/>
        </w:rPr>
        <w:t xml:space="preserve">to </w:t>
      </w:r>
    </w:p>
    <w:p w14:paraId="22494907" w14:textId="67DB164F" w:rsidR="009C3707" w:rsidRDefault="002F7BF6" w:rsidP="009C3707">
      <w:pPr>
        <w:pStyle w:val="ListParagraph"/>
        <w:tabs>
          <w:tab w:val="left" w:pos="3960"/>
        </w:tabs>
        <w:ind w:firstLine="720"/>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Pr="009C3707">
        <w:rPr>
          <w:rFonts w:ascii="Times New Roman" w:hAnsi="Times New Roman" w:cs="Times New Roman"/>
          <w:sz w:val="24"/>
          <w:szCs w:val="24"/>
        </w:rPr>
        <w:t>gradually decreasing number of consumers participating in the retail choice electric market</w:t>
      </w:r>
      <w:r w:rsidR="009C3707">
        <w:rPr>
          <w:rFonts w:ascii="Times New Roman" w:hAnsi="Times New Roman" w:cs="Times New Roman"/>
          <w:sz w:val="24"/>
          <w:szCs w:val="24"/>
        </w:rPr>
        <w:t>.</w:t>
      </w:r>
      <w:r w:rsidR="009C3707" w:rsidRPr="009C3707">
        <w:rPr>
          <w:rFonts w:ascii="Times New Roman" w:hAnsi="Times New Roman" w:cs="Times New Roman"/>
          <w:sz w:val="24"/>
          <w:szCs w:val="24"/>
        </w:rPr>
        <w:t xml:space="preserve"> </w:t>
      </w:r>
    </w:p>
    <w:p w14:paraId="5AF3B92D" w14:textId="77777777" w:rsidR="00327674" w:rsidRDefault="00327674" w:rsidP="009C3707">
      <w:pPr>
        <w:pStyle w:val="ListParagraph"/>
        <w:tabs>
          <w:tab w:val="left" w:pos="3960"/>
        </w:tabs>
        <w:ind w:firstLine="720"/>
        <w:rPr>
          <w:rFonts w:ascii="Times New Roman" w:hAnsi="Times New Roman" w:cs="Times New Roman"/>
          <w:sz w:val="24"/>
          <w:szCs w:val="24"/>
        </w:rPr>
      </w:pPr>
    </w:p>
    <w:p w14:paraId="708350A1" w14:textId="77777777" w:rsidR="00712E11" w:rsidRDefault="00E10412" w:rsidP="00206EEC">
      <w:pPr>
        <w:pStyle w:val="ListParagraph"/>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712E11">
        <w:rPr>
          <w:rFonts w:ascii="Times New Roman" w:hAnsi="Times New Roman" w:cs="Times New Roman"/>
          <w:sz w:val="24"/>
          <w:szCs w:val="24"/>
        </w:rPr>
        <w:t xml:space="preserve">Other States Have Issued Reports Detailing Economic Harm from Residential Retail Choice </w:t>
      </w:r>
    </w:p>
    <w:p w14:paraId="78B92E71" w14:textId="77777777" w:rsidR="00E10412" w:rsidRPr="00E10412" w:rsidRDefault="00E10412" w:rsidP="00206EEC">
      <w:pPr>
        <w:pStyle w:val="ListParagraph"/>
        <w:ind w:left="144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w:t>
      </w:r>
      <w:r w:rsidRPr="00E10412">
        <w:rPr>
          <w:rFonts w:ascii="Times New Roman" w:hAnsi="Times New Roman" w:cs="Times New Roman"/>
          <w:sz w:val="24"/>
          <w:szCs w:val="24"/>
        </w:rPr>
        <w:t xml:space="preserve">Are Consumers Benefitting from Competition? An Analysis of the Individual </w:t>
      </w:r>
    </w:p>
    <w:p w14:paraId="73378BED" w14:textId="77777777" w:rsidR="00E10412" w:rsidRPr="00AC04C7" w:rsidRDefault="00E10412" w:rsidP="00206EEC">
      <w:pPr>
        <w:pStyle w:val="ListParagraph"/>
        <w:ind w:left="2160"/>
        <w:rPr>
          <w:rFonts w:ascii="Times New Roman" w:hAnsi="Times New Roman" w:cs="Times New Roman"/>
          <w:sz w:val="24"/>
          <w:szCs w:val="24"/>
        </w:rPr>
      </w:pPr>
      <w:r w:rsidRPr="00E10412">
        <w:rPr>
          <w:rFonts w:ascii="Times New Roman" w:hAnsi="Times New Roman" w:cs="Times New Roman"/>
          <w:sz w:val="24"/>
          <w:szCs w:val="24"/>
        </w:rPr>
        <w:t xml:space="preserve">Residential Electric Supply Market in Massachusetts,” March 2018 </w:t>
      </w:r>
      <w:hyperlink r:id="rId10" w:history="1">
        <w:r w:rsidRPr="00E10412">
          <w:rPr>
            <w:rStyle w:val="Hyperlink"/>
            <w:rFonts w:ascii="Times New Roman" w:hAnsi="Times New Roman" w:cs="Times New Roman"/>
            <w:sz w:val="24"/>
            <w:szCs w:val="24"/>
          </w:rPr>
          <w:t>Report</w:t>
        </w:r>
      </w:hyperlink>
      <w:r w:rsidRPr="00E10412">
        <w:rPr>
          <w:rFonts w:ascii="Times New Roman" w:hAnsi="Times New Roman" w:cs="Times New Roman"/>
          <w:sz w:val="24"/>
          <w:szCs w:val="24"/>
        </w:rPr>
        <w:t xml:space="preserve"> by the </w:t>
      </w:r>
      <w:r w:rsidRPr="00AC04C7">
        <w:rPr>
          <w:rFonts w:ascii="Times New Roman" w:hAnsi="Times New Roman" w:cs="Times New Roman"/>
          <w:sz w:val="24"/>
          <w:szCs w:val="24"/>
        </w:rPr>
        <w:t>Massachusetts Attorney General’s Office</w:t>
      </w:r>
      <w:r w:rsidR="00573C5F" w:rsidRPr="00AC04C7">
        <w:rPr>
          <w:rFonts w:ascii="Times New Roman" w:hAnsi="Times New Roman" w:cs="Times New Roman"/>
          <w:sz w:val="24"/>
          <w:szCs w:val="24"/>
        </w:rPr>
        <w:t xml:space="preserve">; </w:t>
      </w:r>
      <w:proofErr w:type="spellStart"/>
      <w:r w:rsidR="00573C5F" w:rsidRPr="00AC04C7">
        <w:rPr>
          <w:rFonts w:ascii="Times New Roman" w:hAnsi="Times New Roman" w:cs="Times New Roman"/>
          <w:sz w:val="24"/>
          <w:szCs w:val="24"/>
        </w:rPr>
        <w:t>Eversource</w:t>
      </w:r>
      <w:proofErr w:type="spellEnd"/>
      <w:r w:rsidR="00573C5F" w:rsidRPr="00AC04C7">
        <w:rPr>
          <w:rFonts w:ascii="Times New Roman" w:hAnsi="Times New Roman" w:cs="Times New Roman"/>
          <w:sz w:val="24"/>
          <w:szCs w:val="24"/>
        </w:rPr>
        <w:t xml:space="preserve"> Exec </w:t>
      </w:r>
      <w:hyperlink r:id="rId11" w:history="1">
        <w:r w:rsidR="00573C5F" w:rsidRPr="00AC04C7">
          <w:rPr>
            <w:rStyle w:val="Hyperlink"/>
            <w:rFonts w:ascii="Times New Roman" w:hAnsi="Times New Roman" w:cs="Times New Roman"/>
            <w:sz w:val="24"/>
            <w:szCs w:val="24"/>
          </w:rPr>
          <w:t>Op-Ed</w:t>
        </w:r>
      </w:hyperlink>
      <w:r w:rsidR="002763F1" w:rsidRPr="00AC04C7">
        <w:rPr>
          <w:rFonts w:ascii="Times New Roman" w:hAnsi="Times New Roman" w:cs="Times New Roman"/>
          <w:sz w:val="24"/>
          <w:szCs w:val="24"/>
        </w:rPr>
        <w:t xml:space="preserve"> in support thereof</w:t>
      </w:r>
    </w:p>
    <w:p w14:paraId="34FFEC13" w14:textId="77777777" w:rsidR="00AC04C7" w:rsidRPr="00AC04C7" w:rsidRDefault="00E10412" w:rsidP="00206EEC">
      <w:pPr>
        <w:pStyle w:val="ListParagraph"/>
        <w:ind w:left="2160" w:hanging="720"/>
        <w:rPr>
          <w:rFonts w:ascii="Times New Roman" w:hAnsi="Times New Roman" w:cs="Times New Roman"/>
          <w:sz w:val="24"/>
          <w:szCs w:val="24"/>
        </w:rPr>
      </w:pPr>
      <w:r w:rsidRPr="00AC04C7">
        <w:rPr>
          <w:rFonts w:ascii="Times New Roman" w:hAnsi="Times New Roman" w:cs="Times New Roman"/>
          <w:sz w:val="24"/>
          <w:szCs w:val="24"/>
        </w:rPr>
        <w:t>ii.</w:t>
      </w:r>
      <w:r w:rsidR="00AC04C7" w:rsidRPr="00AC04C7">
        <w:rPr>
          <w:rFonts w:ascii="Times New Roman" w:hAnsi="Times New Roman" w:cs="Times New Roman"/>
          <w:sz w:val="24"/>
          <w:szCs w:val="24"/>
        </w:rPr>
        <w:t xml:space="preserve">         “Competing to Overcharge Consumers: The Competitive Electric Supplier Market in Massachusetts,” April 2018 </w:t>
      </w:r>
      <w:hyperlink r:id="rId12" w:history="1">
        <w:r w:rsidR="00AC04C7" w:rsidRPr="00AC04C7">
          <w:rPr>
            <w:rStyle w:val="Hyperlink"/>
            <w:rFonts w:ascii="Times New Roman" w:hAnsi="Times New Roman" w:cs="Times New Roman"/>
            <w:sz w:val="24"/>
            <w:szCs w:val="24"/>
          </w:rPr>
          <w:t>Report</w:t>
        </w:r>
      </w:hyperlink>
      <w:r w:rsidR="00AC04C7" w:rsidRPr="00AC04C7">
        <w:rPr>
          <w:rFonts w:ascii="Times New Roman" w:hAnsi="Times New Roman" w:cs="Times New Roman"/>
          <w:sz w:val="24"/>
          <w:szCs w:val="24"/>
        </w:rPr>
        <w:t xml:space="preserve"> issued by the National Consumer Law Center </w:t>
      </w:r>
    </w:p>
    <w:p w14:paraId="59105ACF" w14:textId="5C9D8B1C" w:rsidR="00E10412" w:rsidRDefault="00AC04C7" w:rsidP="00AC04C7">
      <w:pPr>
        <w:pStyle w:val="ListParagraph"/>
        <w:ind w:left="2160" w:hanging="72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E10412" w:rsidRPr="00AC04C7">
        <w:rPr>
          <w:rFonts w:ascii="Times New Roman" w:hAnsi="Times New Roman" w:cs="Times New Roman"/>
          <w:i/>
          <w:sz w:val="24"/>
          <w:szCs w:val="24"/>
        </w:rPr>
        <w:t>“</w:t>
      </w:r>
      <w:r w:rsidR="00E10412" w:rsidRPr="00AC04C7">
        <w:rPr>
          <w:rFonts w:ascii="Times New Roman" w:hAnsi="Times New Roman" w:cs="Times New Roman"/>
          <w:sz w:val="24"/>
          <w:szCs w:val="24"/>
        </w:rPr>
        <w:t>Maryland’s Residential Electric and Gas Supply Markets: Where Do We Go from       Here</w:t>
      </w:r>
      <w:proofErr w:type="gramStart"/>
      <w:r w:rsidR="00E10412" w:rsidRPr="00AC04C7">
        <w:rPr>
          <w:rFonts w:ascii="Times New Roman" w:hAnsi="Times New Roman" w:cs="Times New Roman"/>
          <w:sz w:val="24"/>
          <w:szCs w:val="24"/>
        </w:rPr>
        <w:t>?,</w:t>
      </w:r>
      <w:proofErr w:type="gramEnd"/>
      <w:r w:rsidR="00E10412" w:rsidRPr="00AC04C7">
        <w:rPr>
          <w:rFonts w:ascii="Times New Roman" w:hAnsi="Times New Roman" w:cs="Times New Roman"/>
          <w:sz w:val="24"/>
          <w:szCs w:val="24"/>
        </w:rPr>
        <w:t xml:space="preserve">” November 2019 </w:t>
      </w:r>
      <w:hyperlink r:id="rId13" w:history="1">
        <w:r w:rsidR="00E10412" w:rsidRPr="00AC04C7">
          <w:rPr>
            <w:rStyle w:val="Hyperlink"/>
            <w:rFonts w:ascii="Times New Roman" w:hAnsi="Times New Roman" w:cs="Times New Roman"/>
            <w:sz w:val="24"/>
            <w:szCs w:val="24"/>
          </w:rPr>
          <w:t>Report</w:t>
        </w:r>
      </w:hyperlink>
      <w:r w:rsidR="00E10412" w:rsidRPr="00AC04C7">
        <w:rPr>
          <w:rFonts w:ascii="Times New Roman" w:hAnsi="Times New Roman" w:cs="Times New Roman"/>
          <w:sz w:val="24"/>
          <w:szCs w:val="24"/>
        </w:rPr>
        <w:t xml:space="preserve"> Issued by the Maryland Office of People’s Counsel</w:t>
      </w:r>
    </w:p>
    <w:p w14:paraId="22EEA0D1" w14:textId="77777777" w:rsidR="0072230A" w:rsidRPr="00AC04C7" w:rsidRDefault="0072230A" w:rsidP="00AC04C7">
      <w:pPr>
        <w:pStyle w:val="ListParagraph"/>
        <w:ind w:left="2160" w:hanging="720"/>
        <w:rPr>
          <w:rFonts w:ascii="Times New Roman" w:hAnsi="Times New Roman" w:cs="Times New Roman"/>
          <w:sz w:val="24"/>
          <w:szCs w:val="24"/>
        </w:rPr>
      </w:pPr>
    </w:p>
    <w:p w14:paraId="6378A318" w14:textId="77777777" w:rsidR="00831EA2" w:rsidRDefault="00831EA2" w:rsidP="00206EEC">
      <w:pPr>
        <w:pStyle w:val="ListParagraph"/>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8764C2">
        <w:rPr>
          <w:rFonts w:ascii="Times New Roman" w:hAnsi="Times New Roman" w:cs="Times New Roman"/>
          <w:sz w:val="24"/>
          <w:szCs w:val="24"/>
        </w:rPr>
        <w:t>Third-P</w:t>
      </w:r>
      <w:r>
        <w:rPr>
          <w:rFonts w:ascii="Times New Roman" w:hAnsi="Times New Roman" w:cs="Times New Roman"/>
          <w:sz w:val="24"/>
          <w:szCs w:val="24"/>
        </w:rPr>
        <w:t xml:space="preserve">arty Electric Suppliers </w:t>
      </w:r>
      <w:r w:rsidR="00391E22">
        <w:rPr>
          <w:rFonts w:ascii="Times New Roman" w:hAnsi="Times New Roman" w:cs="Times New Roman"/>
          <w:sz w:val="24"/>
          <w:szCs w:val="24"/>
        </w:rPr>
        <w:t>Do Not Bring Meaningful Employment</w:t>
      </w:r>
      <w:r>
        <w:rPr>
          <w:rFonts w:ascii="Times New Roman" w:hAnsi="Times New Roman" w:cs="Times New Roman"/>
          <w:sz w:val="24"/>
          <w:szCs w:val="24"/>
        </w:rPr>
        <w:t xml:space="preserve"> to CT</w:t>
      </w:r>
    </w:p>
    <w:p w14:paraId="2615BF24" w14:textId="77777777" w:rsidR="00831EA2" w:rsidRDefault="00831EA2" w:rsidP="00206EEC">
      <w:pPr>
        <w:pStyle w:val="ListParagraph"/>
        <w:ind w:left="1440" w:hanging="72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Most marketing</w:t>
      </w:r>
      <w:r w:rsidR="00391E22">
        <w:rPr>
          <w:rFonts w:ascii="Times New Roman" w:hAnsi="Times New Roman" w:cs="Times New Roman"/>
          <w:sz w:val="24"/>
          <w:szCs w:val="24"/>
        </w:rPr>
        <w:t xml:space="preserve"> is done by third-party agents who are generally paid by commission.</w:t>
      </w:r>
    </w:p>
    <w:p w14:paraId="2B527F60" w14:textId="77777777" w:rsidR="00831EA2" w:rsidRDefault="00831EA2" w:rsidP="00206EEC">
      <w:pPr>
        <w:pStyle w:val="ListParagraph"/>
        <w:ind w:left="1440" w:hanging="720"/>
        <w:rPr>
          <w:rFonts w:ascii="Times New Roman" w:hAnsi="Times New Roman" w:cs="Times New Roman"/>
          <w:sz w:val="24"/>
          <w:szCs w:val="24"/>
        </w:rPr>
      </w:pPr>
      <w:r>
        <w:rPr>
          <w:rFonts w:ascii="Times New Roman" w:hAnsi="Times New Roman" w:cs="Times New Roman"/>
          <w:sz w:val="24"/>
          <w:szCs w:val="24"/>
        </w:rPr>
        <w:t xml:space="preserve">            ii.</w:t>
      </w:r>
      <w:r>
        <w:rPr>
          <w:rFonts w:ascii="Times New Roman" w:hAnsi="Times New Roman" w:cs="Times New Roman"/>
          <w:sz w:val="24"/>
          <w:szCs w:val="24"/>
        </w:rPr>
        <w:tab/>
        <w:t>Telesales marketing vendors are mostly from outside of CT.</w:t>
      </w:r>
    </w:p>
    <w:p w14:paraId="16ED61AA" w14:textId="77777777" w:rsidR="00831EA2" w:rsidRDefault="00831EA2" w:rsidP="00206EEC">
      <w:pPr>
        <w:pStyle w:val="ListParagraph"/>
        <w:ind w:left="1440" w:hanging="720"/>
        <w:rPr>
          <w:rFonts w:ascii="Times New Roman" w:hAnsi="Times New Roman" w:cs="Times New Roman"/>
          <w:sz w:val="24"/>
          <w:szCs w:val="24"/>
        </w:rPr>
      </w:pPr>
      <w:r>
        <w:rPr>
          <w:rFonts w:ascii="Times New Roman" w:hAnsi="Times New Roman" w:cs="Times New Roman"/>
          <w:sz w:val="24"/>
          <w:szCs w:val="24"/>
        </w:rPr>
        <w:t xml:space="preserve">            iii.        Door-to-door marketing is not as significant as telesales due to CT winters, and many</w:t>
      </w:r>
    </w:p>
    <w:p w14:paraId="2BC87DCB" w14:textId="77777777" w:rsidR="00831EA2" w:rsidRDefault="00831EA2" w:rsidP="00206EEC">
      <w:pPr>
        <w:pStyle w:val="ListParagraph"/>
        <w:ind w:left="1440" w:hanging="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door-to-door</w:t>
      </w:r>
      <w:proofErr w:type="gramEnd"/>
      <w:r>
        <w:rPr>
          <w:rFonts w:ascii="Times New Roman" w:hAnsi="Times New Roman" w:cs="Times New Roman"/>
          <w:sz w:val="24"/>
          <w:szCs w:val="24"/>
        </w:rPr>
        <w:t xml:space="preserve"> marketing agents are bused in from out of state to solicit in CT </w:t>
      </w:r>
    </w:p>
    <w:p w14:paraId="458E8FB7" w14:textId="77777777" w:rsidR="00831EA2" w:rsidRDefault="00831EA2" w:rsidP="00206EEC">
      <w:pPr>
        <w:pStyle w:val="ListParagraph"/>
        <w:ind w:left="1440" w:hanging="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neighborhoods</w:t>
      </w:r>
      <w:proofErr w:type="gramEnd"/>
      <w:r w:rsidR="00AF49F7">
        <w:rPr>
          <w:rFonts w:ascii="Times New Roman" w:hAnsi="Times New Roman" w:cs="Times New Roman"/>
          <w:sz w:val="24"/>
          <w:szCs w:val="24"/>
        </w:rPr>
        <w:t xml:space="preserve"> for a day</w:t>
      </w:r>
      <w:r>
        <w:rPr>
          <w:rFonts w:ascii="Times New Roman" w:hAnsi="Times New Roman" w:cs="Times New Roman"/>
          <w:sz w:val="24"/>
          <w:szCs w:val="24"/>
        </w:rPr>
        <w:t>.</w:t>
      </w:r>
      <w:r w:rsidR="004865BA">
        <w:rPr>
          <w:rFonts w:ascii="Times New Roman" w:hAnsi="Times New Roman" w:cs="Times New Roman"/>
          <w:sz w:val="24"/>
          <w:szCs w:val="24"/>
        </w:rPr>
        <w:t xml:space="preserve">  OCC </w:t>
      </w:r>
      <w:hyperlink r:id="rId14" w:history="1">
        <w:r w:rsidR="004865BA" w:rsidRPr="004865BA">
          <w:rPr>
            <w:rStyle w:val="Hyperlink"/>
            <w:rFonts w:ascii="Times New Roman" w:hAnsi="Times New Roman" w:cs="Times New Roman"/>
            <w:sz w:val="24"/>
            <w:szCs w:val="24"/>
          </w:rPr>
          <w:t>Brief</w:t>
        </w:r>
      </w:hyperlink>
      <w:r w:rsidR="004865BA">
        <w:rPr>
          <w:rFonts w:ascii="Times New Roman" w:hAnsi="Times New Roman" w:cs="Times New Roman"/>
          <w:sz w:val="24"/>
          <w:szCs w:val="24"/>
        </w:rPr>
        <w:t xml:space="preserve"> at 62-63.</w:t>
      </w:r>
    </w:p>
    <w:p w14:paraId="092C3773" w14:textId="77777777" w:rsidR="002D5922" w:rsidRDefault="00831EA2" w:rsidP="00206EEC">
      <w:pPr>
        <w:pStyle w:val="ListParagraph"/>
        <w:ind w:left="1440" w:hanging="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 xml:space="preserve">. </w:t>
      </w:r>
      <w:r>
        <w:rPr>
          <w:rFonts w:ascii="Times New Roman" w:hAnsi="Times New Roman" w:cs="Times New Roman"/>
          <w:sz w:val="24"/>
          <w:szCs w:val="24"/>
        </w:rPr>
        <w:tab/>
        <w:t>Even if in-state, most mark</w:t>
      </w:r>
      <w:r w:rsidR="002D5922">
        <w:rPr>
          <w:rFonts w:ascii="Times New Roman" w:hAnsi="Times New Roman" w:cs="Times New Roman"/>
          <w:sz w:val="24"/>
          <w:szCs w:val="24"/>
        </w:rPr>
        <w:t xml:space="preserve">eting jobs are transitory.  OCC’s </w:t>
      </w:r>
      <w:r>
        <w:rPr>
          <w:rFonts w:ascii="Times New Roman" w:hAnsi="Times New Roman" w:cs="Times New Roman"/>
          <w:sz w:val="24"/>
          <w:szCs w:val="24"/>
        </w:rPr>
        <w:t xml:space="preserve">collective experience shows </w:t>
      </w:r>
    </w:p>
    <w:p w14:paraId="0057F3B3" w14:textId="77777777" w:rsidR="006D639E" w:rsidRDefault="00831EA2" w:rsidP="00206EEC">
      <w:pPr>
        <w:pStyle w:val="ListParagraph"/>
        <w:ind w:left="1440" w:firstLine="720"/>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w:t>
      </w:r>
      <w:r w:rsidR="002D5922">
        <w:rPr>
          <w:rFonts w:ascii="Times New Roman" w:hAnsi="Times New Roman" w:cs="Times New Roman"/>
          <w:sz w:val="24"/>
          <w:szCs w:val="24"/>
        </w:rPr>
        <w:t>most marketing agents</w:t>
      </w:r>
      <w:r w:rsidRPr="002D5922">
        <w:rPr>
          <w:rFonts w:ascii="Times New Roman" w:hAnsi="Times New Roman" w:cs="Times New Roman"/>
          <w:sz w:val="24"/>
          <w:szCs w:val="24"/>
        </w:rPr>
        <w:t xml:space="preserve"> do not stay in their positions for meaningful periods of time.  </w:t>
      </w:r>
    </w:p>
    <w:p w14:paraId="492CC0FD" w14:textId="77777777" w:rsidR="00AB1BA3" w:rsidRPr="002D5922" w:rsidRDefault="00831EA2" w:rsidP="00206EEC">
      <w:pPr>
        <w:pStyle w:val="ListParagraph"/>
        <w:ind w:left="1440" w:firstLine="720"/>
        <w:rPr>
          <w:rFonts w:ascii="Times New Roman" w:hAnsi="Times New Roman" w:cs="Times New Roman"/>
          <w:sz w:val="24"/>
          <w:szCs w:val="24"/>
        </w:rPr>
      </w:pPr>
      <w:r w:rsidRPr="002D5922">
        <w:rPr>
          <w:rFonts w:ascii="Times New Roman" w:hAnsi="Times New Roman" w:cs="Times New Roman"/>
          <w:sz w:val="24"/>
          <w:szCs w:val="24"/>
        </w:rPr>
        <w:t xml:space="preserve">  </w:t>
      </w:r>
    </w:p>
    <w:p w14:paraId="54F49522" w14:textId="77777777" w:rsidR="00712E11" w:rsidRPr="00B5431E" w:rsidRDefault="0072129D" w:rsidP="00206EEC">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u w:val="single"/>
        </w:rPr>
        <w:t>Legislative</w:t>
      </w:r>
      <w:r w:rsidR="00712E11" w:rsidRPr="00712E11">
        <w:rPr>
          <w:rFonts w:ascii="Times New Roman" w:hAnsi="Times New Roman" w:cs="Times New Roman"/>
          <w:sz w:val="24"/>
          <w:szCs w:val="24"/>
        </w:rPr>
        <w:t>: CT Has the Most Robust Consumer Protection</w:t>
      </w:r>
      <w:r w:rsidR="0028052B">
        <w:rPr>
          <w:rFonts w:ascii="Times New Roman" w:hAnsi="Times New Roman" w:cs="Times New Roman"/>
          <w:sz w:val="24"/>
          <w:szCs w:val="24"/>
        </w:rPr>
        <w:t>s</w:t>
      </w:r>
      <w:r>
        <w:rPr>
          <w:rFonts w:ascii="Times New Roman" w:hAnsi="Times New Roman" w:cs="Times New Roman"/>
          <w:sz w:val="24"/>
          <w:szCs w:val="24"/>
        </w:rPr>
        <w:t xml:space="preserve"> Nationally</w:t>
      </w:r>
      <w:r w:rsidR="0028052B">
        <w:rPr>
          <w:rFonts w:ascii="Times New Roman" w:hAnsi="Times New Roman" w:cs="Times New Roman"/>
          <w:sz w:val="24"/>
          <w:szCs w:val="24"/>
        </w:rPr>
        <w:t xml:space="preserve"> Yet</w:t>
      </w:r>
      <w:r w:rsidR="00B5431E">
        <w:rPr>
          <w:rFonts w:ascii="Times New Roman" w:hAnsi="Times New Roman" w:cs="Times New Roman"/>
          <w:sz w:val="24"/>
          <w:szCs w:val="24"/>
        </w:rPr>
        <w:t xml:space="preserve"> Consumer Harm Persists </w:t>
      </w:r>
    </w:p>
    <w:p w14:paraId="460A1ECE" w14:textId="77777777" w:rsidR="00E10412" w:rsidRPr="00A86C78" w:rsidRDefault="00A86C78" w:rsidP="00206EEC">
      <w:pPr>
        <w:pStyle w:val="ListParagraph"/>
        <w:ind w:left="0" w:firstLine="720"/>
        <w:rPr>
          <w:rFonts w:ascii="Times New Roman" w:hAnsi="Times New Roman" w:cs="Times New Roman"/>
          <w:color w:val="0000FF" w:themeColor="hyperlink"/>
          <w:sz w:val="24"/>
          <w:szCs w:val="24"/>
          <w:u w:val="single"/>
        </w:rPr>
      </w:pPr>
      <w:r>
        <w:rPr>
          <w:rFonts w:ascii="Times New Roman" w:hAnsi="Times New Roman" w:cs="Times New Roman"/>
          <w:sz w:val="24"/>
          <w:szCs w:val="24"/>
        </w:rPr>
        <w:t>A.</w:t>
      </w:r>
      <w:r>
        <w:rPr>
          <w:rFonts w:ascii="Times New Roman" w:hAnsi="Times New Roman" w:cs="Times New Roman"/>
          <w:sz w:val="24"/>
          <w:szCs w:val="24"/>
        </w:rPr>
        <w:tab/>
      </w:r>
      <w:r w:rsidR="00E10412">
        <w:rPr>
          <w:rFonts w:ascii="Times New Roman" w:hAnsi="Times New Roman" w:cs="Times New Roman"/>
          <w:sz w:val="24"/>
          <w:szCs w:val="24"/>
        </w:rPr>
        <w:t xml:space="preserve">CT was the first state </w:t>
      </w:r>
      <w:r w:rsidR="00CC75B1">
        <w:rPr>
          <w:rFonts w:ascii="Times New Roman" w:hAnsi="Times New Roman" w:cs="Times New Roman"/>
          <w:sz w:val="24"/>
          <w:szCs w:val="24"/>
        </w:rPr>
        <w:t>t</w:t>
      </w:r>
      <w:r>
        <w:rPr>
          <w:rFonts w:ascii="Times New Roman" w:hAnsi="Times New Roman" w:cs="Times New Roman"/>
          <w:sz w:val="24"/>
          <w:szCs w:val="24"/>
        </w:rPr>
        <w:t xml:space="preserve">o implement a Variable Rate Ban through </w:t>
      </w:r>
      <w:hyperlink r:id="rId15" w:history="1">
        <w:r w:rsidRPr="00A86C78">
          <w:rPr>
            <w:rStyle w:val="Hyperlink"/>
            <w:rFonts w:ascii="Times New Roman" w:hAnsi="Times New Roman" w:cs="Times New Roman"/>
            <w:sz w:val="24"/>
            <w:szCs w:val="24"/>
          </w:rPr>
          <w:t xml:space="preserve">Public Act </w:t>
        </w:r>
        <w:r>
          <w:rPr>
            <w:rStyle w:val="Hyperlink"/>
            <w:rFonts w:ascii="Times New Roman" w:hAnsi="Times New Roman" w:cs="Times New Roman"/>
            <w:sz w:val="24"/>
            <w:szCs w:val="24"/>
          </w:rPr>
          <w:t xml:space="preserve">No. </w:t>
        </w:r>
        <w:r w:rsidRPr="00A86C78">
          <w:rPr>
            <w:rStyle w:val="Hyperlink"/>
            <w:rFonts w:ascii="Times New Roman" w:hAnsi="Times New Roman" w:cs="Times New Roman"/>
            <w:sz w:val="24"/>
            <w:szCs w:val="24"/>
          </w:rPr>
          <w:t>15-90</w:t>
        </w:r>
      </w:hyperlink>
      <w:r w:rsidRPr="00A86C78">
        <w:rPr>
          <w:rFonts w:ascii="Times New Roman" w:hAnsi="Times New Roman" w:cs="Times New Roman"/>
          <w:sz w:val="24"/>
          <w:szCs w:val="24"/>
        </w:rPr>
        <w:t xml:space="preserve"> </w:t>
      </w:r>
    </w:p>
    <w:p w14:paraId="0D4C9C6E" w14:textId="35447A7D" w:rsidR="00AB1BA3" w:rsidRDefault="00E10412" w:rsidP="00206EEC">
      <w:pPr>
        <w:pStyle w:val="ListParagraph"/>
        <w:ind w:left="0" w:firstLine="72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r>
      <w:r w:rsidR="00A86C78">
        <w:rPr>
          <w:rFonts w:ascii="Times New Roman" w:hAnsi="Times New Roman" w:cs="Times New Roman"/>
          <w:sz w:val="24"/>
          <w:szCs w:val="24"/>
        </w:rPr>
        <w:t>Consid</w:t>
      </w:r>
      <w:r w:rsidR="004C6EA5">
        <w:rPr>
          <w:rFonts w:ascii="Times New Roman" w:hAnsi="Times New Roman" w:cs="Times New Roman"/>
          <w:sz w:val="24"/>
          <w:szCs w:val="24"/>
        </w:rPr>
        <w:t>erable Consumer Protection Legi</w:t>
      </w:r>
      <w:r w:rsidR="00A86C78">
        <w:rPr>
          <w:rFonts w:ascii="Times New Roman" w:hAnsi="Times New Roman" w:cs="Times New Roman"/>
          <w:sz w:val="24"/>
          <w:szCs w:val="24"/>
        </w:rPr>
        <w:t>s</w:t>
      </w:r>
      <w:r w:rsidR="004C6EA5">
        <w:rPr>
          <w:rFonts w:ascii="Times New Roman" w:hAnsi="Times New Roman" w:cs="Times New Roman"/>
          <w:sz w:val="24"/>
          <w:szCs w:val="24"/>
        </w:rPr>
        <w:t>l</w:t>
      </w:r>
      <w:r w:rsidR="00A86C78">
        <w:rPr>
          <w:rFonts w:ascii="Times New Roman" w:hAnsi="Times New Roman" w:cs="Times New Roman"/>
          <w:sz w:val="24"/>
          <w:szCs w:val="24"/>
        </w:rPr>
        <w:t xml:space="preserve">ation </w:t>
      </w:r>
      <w:r w:rsidR="00D974D2">
        <w:rPr>
          <w:rFonts w:ascii="Times New Roman" w:hAnsi="Times New Roman" w:cs="Times New Roman"/>
          <w:sz w:val="24"/>
          <w:szCs w:val="24"/>
        </w:rPr>
        <w:t xml:space="preserve">was </w:t>
      </w:r>
      <w:r w:rsidR="00A86C78">
        <w:rPr>
          <w:rFonts w:ascii="Times New Roman" w:hAnsi="Times New Roman" w:cs="Times New Roman"/>
          <w:sz w:val="24"/>
          <w:szCs w:val="24"/>
        </w:rPr>
        <w:t xml:space="preserve">enacted through </w:t>
      </w:r>
      <w:hyperlink r:id="rId16" w:history="1">
        <w:r w:rsidR="00A86C78" w:rsidRPr="00A86C78">
          <w:rPr>
            <w:rStyle w:val="Hyperlink"/>
            <w:rFonts w:ascii="Times New Roman" w:hAnsi="Times New Roman" w:cs="Times New Roman"/>
            <w:sz w:val="24"/>
            <w:szCs w:val="24"/>
          </w:rPr>
          <w:t>Public Act No. 14-75</w:t>
        </w:r>
      </w:hyperlink>
      <w:r w:rsidR="00A86C78">
        <w:rPr>
          <w:rFonts w:ascii="Times New Roman" w:hAnsi="Times New Roman" w:cs="Times New Roman"/>
          <w:sz w:val="24"/>
          <w:szCs w:val="24"/>
        </w:rPr>
        <w:t xml:space="preserve"> </w:t>
      </w:r>
    </w:p>
    <w:p w14:paraId="1F1BDC16" w14:textId="0AD70732" w:rsidR="00432CAC" w:rsidRDefault="00432CAC" w:rsidP="00206EEC">
      <w:pPr>
        <w:pStyle w:val="ListParagraph"/>
        <w:ind w:left="0" w:firstLine="720"/>
        <w:rPr>
          <w:rFonts w:ascii="Times New Roman" w:hAnsi="Times New Roman" w:cs="Times New Roman"/>
          <w:sz w:val="24"/>
          <w:szCs w:val="24"/>
        </w:rPr>
      </w:pPr>
    </w:p>
    <w:p w14:paraId="763BBC69" w14:textId="77777777" w:rsidR="00432CAC" w:rsidRDefault="00432CAC" w:rsidP="00206EEC">
      <w:pPr>
        <w:pStyle w:val="ListParagraph"/>
        <w:ind w:left="0" w:firstLine="720"/>
        <w:rPr>
          <w:rFonts w:ascii="Times New Roman" w:hAnsi="Times New Roman" w:cs="Times New Roman"/>
          <w:sz w:val="24"/>
          <w:szCs w:val="24"/>
        </w:rPr>
      </w:pPr>
    </w:p>
    <w:p w14:paraId="4F19E866" w14:textId="77777777" w:rsidR="009D452F" w:rsidRDefault="009D452F" w:rsidP="00206EEC">
      <w:pPr>
        <w:pStyle w:val="ListParagraph"/>
        <w:ind w:left="0" w:firstLine="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The MA Attorney General found: “In Connecticut, the legislature and [PURA] strengthened </w:t>
      </w:r>
    </w:p>
    <w:p w14:paraId="764916E5" w14:textId="6C89800A" w:rsidR="002F7BF6" w:rsidRPr="001057ED" w:rsidRDefault="00BB25EA" w:rsidP="00432CAC">
      <w:pPr>
        <w:pStyle w:val="ListParagraph"/>
        <w:ind w:left="1440"/>
        <w:rPr>
          <w:rFonts w:ascii="Times New Roman" w:hAnsi="Times New Roman" w:cs="Times New Roman"/>
          <w:sz w:val="24"/>
          <w:szCs w:val="24"/>
        </w:rPr>
      </w:pPr>
      <w:proofErr w:type="gramStart"/>
      <w:r>
        <w:rPr>
          <w:rFonts w:ascii="Times New Roman" w:hAnsi="Times New Roman" w:cs="Times New Roman"/>
          <w:sz w:val="24"/>
          <w:szCs w:val="24"/>
        </w:rPr>
        <w:t>c</w:t>
      </w:r>
      <w:r w:rsidR="009D452F">
        <w:rPr>
          <w:rFonts w:ascii="Times New Roman" w:hAnsi="Times New Roman" w:cs="Times New Roman"/>
          <w:sz w:val="24"/>
          <w:szCs w:val="24"/>
        </w:rPr>
        <w:t>onsumer</w:t>
      </w:r>
      <w:proofErr w:type="gramEnd"/>
      <w:r w:rsidR="009D452F">
        <w:rPr>
          <w:rFonts w:ascii="Times New Roman" w:hAnsi="Times New Roman" w:cs="Times New Roman"/>
          <w:sz w:val="24"/>
          <w:szCs w:val="24"/>
        </w:rPr>
        <w:t xml:space="preserve"> protection</w:t>
      </w:r>
      <w:r>
        <w:rPr>
          <w:rFonts w:ascii="Times New Roman" w:hAnsi="Times New Roman" w:cs="Times New Roman"/>
          <w:sz w:val="24"/>
          <w:szCs w:val="24"/>
        </w:rPr>
        <w:t>s</w:t>
      </w:r>
      <w:r w:rsidR="009D452F">
        <w:rPr>
          <w:rFonts w:ascii="Times New Roman" w:hAnsi="Times New Roman" w:cs="Times New Roman"/>
          <w:sz w:val="24"/>
          <w:szCs w:val="24"/>
        </w:rPr>
        <w:t xml:space="preserve"> through the adoption of a number of comprehensive measures, including a ban on variable rates.</w:t>
      </w:r>
      <w:r w:rsidR="00D90073">
        <w:rPr>
          <w:rFonts w:ascii="Times New Roman" w:hAnsi="Times New Roman" w:cs="Times New Roman"/>
          <w:sz w:val="24"/>
          <w:szCs w:val="24"/>
        </w:rPr>
        <w:t xml:space="preserve">  However, these measures have merely mitigated the loss and not transformed the market</w:t>
      </w:r>
      <w:r>
        <w:rPr>
          <w:rFonts w:ascii="Times New Roman" w:hAnsi="Times New Roman" w:cs="Times New Roman"/>
          <w:sz w:val="24"/>
          <w:szCs w:val="24"/>
        </w:rPr>
        <w:t xml:space="preserve"> </w:t>
      </w:r>
      <w:r w:rsidR="00D90073">
        <w:rPr>
          <w:rFonts w:ascii="Times New Roman" w:hAnsi="Times New Roman" w:cs="Times New Roman"/>
          <w:sz w:val="24"/>
          <w:szCs w:val="24"/>
        </w:rPr>
        <w:t xml:space="preserve">into one that provides net benefits.”  </w:t>
      </w:r>
      <w:hyperlink r:id="rId17" w:history="1">
        <w:r w:rsidR="00D90073" w:rsidRPr="00D90073">
          <w:rPr>
            <w:rStyle w:val="Hyperlink"/>
            <w:rFonts w:ascii="Times New Roman" w:hAnsi="Times New Roman" w:cs="Times New Roman"/>
            <w:sz w:val="24"/>
            <w:szCs w:val="24"/>
          </w:rPr>
          <w:t>Report</w:t>
        </w:r>
      </w:hyperlink>
      <w:r w:rsidR="00D90073">
        <w:rPr>
          <w:rFonts w:ascii="Times New Roman" w:hAnsi="Times New Roman" w:cs="Times New Roman"/>
          <w:sz w:val="24"/>
          <w:szCs w:val="24"/>
        </w:rPr>
        <w:t xml:space="preserve"> at 40.</w:t>
      </w:r>
      <w:r w:rsidR="009D452F">
        <w:rPr>
          <w:rFonts w:ascii="Times New Roman" w:hAnsi="Times New Roman" w:cs="Times New Roman"/>
          <w:sz w:val="24"/>
          <w:szCs w:val="24"/>
        </w:rPr>
        <w:t xml:space="preserve">  </w:t>
      </w:r>
    </w:p>
    <w:p w14:paraId="6D0037DD" w14:textId="77777777" w:rsidR="002F7BF6" w:rsidRPr="00FF2587" w:rsidRDefault="002F7BF6" w:rsidP="009D452F">
      <w:pPr>
        <w:pStyle w:val="ListParagraph"/>
        <w:ind w:left="1440"/>
        <w:rPr>
          <w:rFonts w:ascii="Times New Roman" w:hAnsi="Times New Roman" w:cs="Times New Roman"/>
          <w:sz w:val="24"/>
          <w:szCs w:val="24"/>
        </w:rPr>
      </w:pPr>
    </w:p>
    <w:p w14:paraId="3C6C100C" w14:textId="77777777" w:rsidR="002F7BF6" w:rsidRPr="002F7BF6" w:rsidRDefault="00712E11" w:rsidP="002F7BF6">
      <w:pPr>
        <w:pStyle w:val="ListParagraph"/>
        <w:numPr>
          <w:ilvl w:val="0"/>
          <w:numId w:val="4"/>
        </w:numPr>
        <w:rPr>
          <w:rFonts w:ascii="Times New Roman" w:hAnsi="Times New Roman" w:cs="Times New Roman"/>
          <w:sz w:val="24"/>
          <w:szCs w:val="24"/>
        </w:rPr>
      </w:pPr>
      <w:r w:rsidRPr="00A86C78">
        <w:rPr>
          <w:rFonts w:ascii="Times New Roman" w:hAnsi="Times New Roman" w:cs="Times New Roman"/>
          <w:b/>
          <w:sz w:val="24"/>
          <w:szCs w:val="24"/>
          <w:u w:val="single"/>
        </w:rPr>
        <w:t>CT Regulatory Proceedings</w:t>
      </w:r>
      <w:r>
        <w:rPr>
          <w:rFonts w:ascii="Times New Roman" w:hAnsi="Times New Roman" w:cs="Times New Roman"/>
          <w:sz w:val="24"/>
          <w:szCs w:val="24"/>
        </w:rPr>
        <w:t>: Despite Strong PURA Enforcement, Consumer Harm is Still Rampant</w:t>
      </w:r>
    </w:p>
    <w:p w14:paraId="18B07274" w14:textId="77777777" w:rsidR="00F53B3E" w:rsidRDefault="004F3808" w:rsidP="00206EEC">
      <w:pPr>
        <w:pStyle w:val="ListParagraph"/>
        <w:numPr>
          <w:ilvl w:val="0"/>
          <w:numId w:val="7"/>
        </w:numPr>
        <w:ind w:left="108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53B3E" w:rsidRPr="004F3808">
        <w:rPr>
          <w:rFonts w:ascii="Times New Roman" w:hAnsi="Times New Roman" w:cs="Times New Roman"/>
          <w:sz w:val="24"/>
          <w:szCs w:val="24"/>
        </w:rPr>
        <w:t>Energy Plus</w:t>
      </w:r>
      <w:r w:rsidR="004C6EA5">
        <w:rPr>
          <w:rFonts w:ascii="Times New Roman" w:hAnsi="Times New Roman" w:cs="Times New Roman"/>
          <w:sz w:val="24"/>
          <w:szCs w:val="24"/>
        </w:rPr>
        <w:t>: $4.5M Settlement</w:t>
      </w:r>
      <w:r w:rsidR="00D974D2">
        <w:rPr>
          <w:rFonts w:ascii="Times New Roman" w:hAnsi="Times New Roman" w:cs="Times New Roman"/>
          <w:sz w:val="24"/>
          <w:szCs w:val="24"/>
        </w:rPr>
        <w:t xml:space="preserve">, </w:t>
      </w:r>
      <w:r w:rsidR="007C3A42">
        <w:rPr>
          <w:rFonts w:ascii="Times New Roman" w:hAnsi="Times New Roman" w:cs="Times New Roman"/>
          <w:sz w:val="24"/>
          <w:szCs w:val="24"/>
        </w:rPr>
        <w:t xml:space="preserve">PURA </w:t>
      </w:r>
      <w:hyperlink r:id="rId18" w:history="1">
        <w:r w:rsidR="007C3A42">
          <w:rPr>
            <w:rStyle w:val="Hyperlink"/>
            <w:rFonts w:ascii="Times New Roman" w:hAnsi="Times New Roman" w:cs="Times New Roman"/>
            <w:sz w:val="24"/>
            <w:szCs w:val="24"/>
          </w:rPr>
          <w:t>Decision</w:t>
        </w:r>
      </w:hyperlink>
      <w:r w:rsidR="007C3A42">
        <w:rPr>
          <w:rFonts w:ascii="Times New Roman" w:hAnsi="Times New Roman" w:cs="Times New Roman"/>
          <w:sz w:val="24"/>
          <w:szCs w:val="24"/>
        </w:rPr>
        <w:t>, June 11, 2014</w:t>
      </w:r>
    </w:p>
    <w:p w14:paraId="44239AAA" w14:textId="77777777" w:rsidR="00BB25EA" w:rsidRPr="002F7BF6" w:rsidRDefault="004F3808" w:rsidP="00BB25EA">
      <w:pPr>
        <w:pStyle w:val="ListParagraph"/>
        <w:numPr>
          <w:ilvl w:val="0"/>
          <w:numId w:val="7"/>
        </w:numPr>
        <w:ind w:left="1080"/>
        <w:rPr>
          <w:rFonts w:ascii="Times New Roman" w:hAnsi="Times New Roman" w:cs="Times New Roman"/>
          <w:sz w:val="24"/>
          <w:szCs w:val="24"/>
        </w:rPr>
      </w:pPr>
      <w:r>
        <w:rPr>
          <w:rFonts w:ascii="Times New Roman" w:hAnsi="Times New Roman" w:cs="Times New Roman"/>
          <w:sz w:val="24"/>
          <w:szCs w:val="24"/>
        </w:rPr>
        <w:t xml:space="preserve">      North American Power</w:t>
      </w:r>
      <w:r w:rsidR="004C6EA5">
        <w:rPr>
          <w:rFonts w:ascii="Times New Roman" w:hAnsi="Times New Roman" w:cs="Times New Roman"/>
          <w:sz w:val="24"/>
          <w:szCs w:val="24"/>
        </w:rPr>
        <w:t>: $2.6M Settlement</w:t>
      </w:r>
      <w:r w:rsidR="007C3A42">
        <w:rPr>
          <w:rFonts w:ascii="Times New Roman" w:hAnsi="Times New Roman" w:cs="Times New Roman"/>
          <w:sz w:val="24"/>
          <w:szCs w:val="24"/>
        </w:rPr>
        <w:t xml:space="preserve">, PURA </w:t>
      </w:r>
      <w:hyperlink r:id="rId19" w:history="1">
        <w:r w:rsidR="007C3A42" w:rsidRPr="007C3A42">
          <w:rPr>
            <w:rStyle w:val="Hyperlink"/>
            <w:rFonts w:ascii="Times New Roman" w:hAnsi="Times New Roman" w:cs="Times New Roman"/>
            <w:sz w:val="24"/>
            <w:szCs w:val="24"/>
          </w:rPr>
          <w:t>Decision</w:t>
        </w:r>
      </w:hyperlink>
      <w:r w:rsidR="007C3A42">
        <w:rPr>
          <w:rFonts w:ascii="Times New Roman" w:hAnsi="Times New Roman" w:cs="Times New Roman"/>
          <w:sz w:val="24"/>
          <w:szCs w:val="24"/>
        </w:rPr>
        <w:t>, Oct. 28, 2015</w:t>
      </w:r>
    </w:p>
    <w:p w14:paraId="24F15363" w14:textId="77777777" w:rsidR="004F3808" w:rsidRDefault="004F3808" w:rsidP="00206EEC">
      <w:pPr>
        <w:pStyle w:val="ListParagraph"/>
        <w:numPr>
          <w:ilvl w:val="0"/>
          <w:numId w:val="7"/>
        </w:numPr>
        <w:ind w:left="1080"/>
        <w:rPr>
          <w:rFonts w:ascii="Times New Roman" w:hAnsi="Times New Roman" w:cs="Times New Roman"/>
          <w:sz w:val="24"/>
          <w:szCs w:val="24"/>
        </w:rPr>
      </w:pPr>
      <w:r>
        <w:rPr>
          <w:rFonts w:ascii="Times New Roman" w:hAnsi="Times New Roman" w:cs="Times New Roman"/>
          <w:sz w:val="24"/>
          <w:szCs w:val="24"/>
        </w:rPr>
        <w:t xml:space="preserve">      Public Power: $13k Civil Penalty, PURA </w:t>
      </w:r>
      <w:hyperlink r:id="rId20" w:history="1">
        <w:r w:rsidRPr="00391E22">
          <w:rPr>
            <w:rStyle w:val="Hyperlink"/>
            <w:rFonts w:ascii="Times New Roman" w:hAnsi="Times New Roman" w:cs="Times New Roman"/>
            <w:sz w:val="24"/>
            <w:szCs w:val="24"/>
          </w:rPr>
          <w:t>Decision</w:t>
        </w:r>
      </w:hyperlink>
      <w:r>
        <w:rPr>
          <w:rFonts w:ascii="Times New Roman" w:hAnsi="Times New Roman" w:cs="Times New Roman"/>
          <w:sz w:val="24"/>
          <w:szCs w:val="24"/>
        </w:rPr>
        <w:t>, Jan. 20, 2016</w:t>
      </w:r>
    </w:p>
    <w:p w14:paraId="5918B875" w14:textId="77777777" w:rsidR="004F3808" w:rsidRDefault="004F3808" w:rsidP="00206EEC">
      <w:pPr>
        <w:pStyle w:val="ListParagraph"/>
        <w:numPr>
          <w:ilvl w:val="0"/>
          <w:numId w:val="7"/>
        </w:numPr>
        <w:ind w:left="108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Palmco</w:t>
      </w:r>
      <w:proofErr w:type="spellEnd"/>
      <w:r>
        <w:rPr>
          <w:rFonts w:ascii="Times New Roman" w:hAnsi="Times New Roman" w:cs="Times New Roman"/>
          <w:sz w:val="24"/>
          <w:szCs w:val="24"/>
        </w:rPr>
        <w:t xml:space="preserve"> Power: $5M Settlement &amp; 5-year Stay-out, PURA </w:t>
      </w:r>
      <w:hyperlink r:id="rId21" w:history="1">
        <w:r w:rsidRPr="00391E22">
          <w:rPr>
            <w:rStyle w:val="Hyperlink"/>
            <w:rFonts w:ascii="Times New Roman" w:hAnsi="Times New Roman" w:cs="Times New Roman"/>
            <w:sz w:val="24"/>
            <w:szCs w:val="24"/>
          </w:rPr>
          <w:t>Decision</w:t>
        </w:r>
      </w:hyperlink>
      <w:r>
        <w:rPr>
          <w:rFonts w:ascii="Times New Roman" w:hAnsi="Times New Roman" w:cs="Times New Roman"/>
          <w:sz w:val="24"/>
          <w:szCs w:val="24"/>
        </w:rPr>
        <w:t>, Aug. 16, 2017</w:t>
      </w:r>
    </w:p>
    <w:p w14:paraId="246942E3" w14:textId="77777777" w:rsidR="004F3808" w:rsidRDefault="004F3808" w:rsidP="00206EEC">
      <w:pPr>
        <w:pStyle w:val="ListParagraph"/>
        <w:numPr>
          <w:ilvl w:val="0"/>
          <w:numId w:val="7"/>
        </w:numPr>
        <w:ind w:left="1080"/>
        <w:rPr>
          <w:rFonts w:ascii="Times New Roman" w:hAnsi="Times New Roman" w:cs="Times New Roman"/>
          <w:sz w:val="24"/>
          <w:szCs w:val="24"/>
        </w:rPr>
      </w:pPr>
      <w:r>
        <w:rPr>
          <w:rFonts w:ascii="Times New Roman" w:hAnsi="Times New Roman" w:cs="Times New Roman"/>
          <w:sz w:val="24"/>
          <w:szCs w:val="24"/>
        </w:rPr>
        <w:t xml:space="preserve">      Spark Energy, $900k Civil Penalty (pending), PURA </w:t>
      </w:r>
      <w:hyperlink r:id="rId22" w:history="1">
        <w:r w:rsidRPr="00F53B3E">
          <w:rPr>
            <w:rStyle w:val="Hyperlink"/>
            <w:rFonts w:ascii="Times New Roman" w:hAnsi="Times New Roman" w:cs="Times New Roman"/>
            <w:sz w:val="24"/>
            <w:szCs w:val="24"/>
          </w:rPr>
          <w:t>Notice of Violation</w:t>
        </w:r>
      </w:hyperlink>
      <w:r>
        <w:rPr>
          <w:rFonts w:ascii="Times New Roman" w:hAnsi="Times New Roman" w:cs="Times New Roman"/>
          <w:sz w:val="24"/>
          <w:szCs w:val="24"/>
        </w:rPr>
        <w:t>, Mar. 21, 2018</w:t>
      </w:r>
    </w:p>
    <w:p w14:paraId="7537C4E5" w14:textId="77777777" w:rsidR="00AC04C7" w:rsidRPr="00BB25EA" w:rsidRDefault="004F3808" w:rsidP="00BB25EA">
      <w:pPr>
        <w:pStyle w:val="ListParagraph"/>
        <w:numPr>
          <w:ilvl w:val="0"/>
          <w:numId w:val="7"/>
        </w:numPr>
        <w:ind w:left="1080"/>
        <w:rPr>
          <w:rFonts w:ascii="Times New Roman" w:hAnsi="Times New Roman" w:cs="Times New Roman"/>
          <w:sz w:val="24"/>
          <w:szCs w:val="24"/>
        </w:rPr>
      </w:pPr>
      <w:r>
        <w:rPr>
          <w:rFonts w:ascii="Times New Roman" w:hAnsi="Times New Roman" w:cs="Times New Roman"/>
          <w:sz w:val="24"/>
          <w:szCs w:val="24"/>
        </w:rPr>
        <w:t xml:space="preserve">      </w:t>
      </w:r>
      <w:r w:rsidR="00573C5F" w:rsidRPr="004F3808">
        <w:rPr>
          <w:rFonts w:ascii="Times New Roman" w:hAnsi="Times New Roman" w:cs="Times New Roman"/>
          <w:sz w:val="24"/>
          <w:szCs w:val="24"/>
        </w:rPr>
        <w:t xml:space="preserve">Choice Energy: $250k Civil Penalty, PURA </w:t>
      </w:r>
      <w:hyperlink r:id="rId23" w:history="1">
        <w:r w:rsidR="00573C5F" w:rsidRPr="004F3808">
          <w:rPr>
            <w:rStyle w:val="Hyperlink"/>
            <w:rFonts w:ascii="Times New Roman" w:hAnsi="Times New Roman" w:cs="Times New Roman"/>
            <w:sz w:val="24"/>
            <w:szCs w:val="24"/>
          </w:rPr>
          <w:t>Decision</w:t>
        </w:r>
      </w:hyperlink>
      <w:r w:rsidR="00573C5F" w:rsidRPr="004F3808">
        <w:rPr>
          <w:rFonts w:ascii="Times New Roman" w:hAnsi="Times New Roman" w:cs="Times New Roman"/>
          <w:sz w:val="24"/>
          <w:szCs w:val="24"/>
        </w:rPr>
        <w:t xml:space="preserve">, June 13, 2018      </w:t>
      </w:r>
    </w:p>
    <w:p w14:paraId="77897B80" w14:textId="77777777" w:rsidR="00CC75B1" w:rsidRDefault="004F3808" w:rsidP="00206EEC">
      <w:pPr>
        <w:pStyle w:val="ListParagraph"/>
        <w:numPr>
          <w:ilvl w:val="0"/>
          <w:numId w:val="7"/>
        </w:numPr>
        <w:ind w:left="1080"/>
        <w:rPr>
          <w:rFonts w:ascii="Times New Roman" w:hAnsi="Times New Roman" w:cs="Times New Roman"/>
          <w:sz w:val="24"/>
          <w:szCs w:val="24"/>
        </w:rPr>
      </w:pPr>
      <w:r>
        <w:rPr>
          <w:rFonts w:ascii="Times New Roman" w:hAnsi="Times New Roman" w:cs="Times New Roman"/>
          <w:sz w:val="24"/>
          <w:szCs w:val="24"/>
        </w:rPr>
        <w:t xml:space="preserve">      </w:t>
      </w:r>
      <w:r w:rsidR="00391E22" w:rsidRPr="004F3808">
        <w:rPr>
          <w:rFonts w:ascii="Times New Roman" w:hAnsi="Times New Roman" w:cs="Times New Roman"/>
          <w:sz w:val="24"/>
          <w:szCs w:val="24"/>
        </w:rPr>
        <w:t>Liberty Power</w:t>
      </w:r>
      <w:r w:rsidR="009016E5" w:rsidRPr="004F3808">
        <w:rPr>
          <w:rFonts w:ascii="Times New Roman" w:hAnsi="Times New Roman" w:cs="Times New Roman"/>
          <w:sz w:val="24"/>
          <w:szCs w:val="24"/>
        </w:rPr>
        <w:t xml:space="preserve">: $57,475 Civil Penalty, PURA </w:t>
      </w:r>
      <w:hyperlink r:id="rId24" w:history="1">
        <w:r w:rsidR="009016E5" w:rsidRPr="004F3808">
          <w:rPr>
            <w:rStyle w:val="Hyperlink"/>
            <w:rFonts w:ascii="Times New Roman" w:hAnsi="Times New Roman" w:cs="Times New Roman"/>
            <w:sz w:val="24"/>
            <w:szCs w:val="24"/>
          </w:rPr>
          <w:t>Decision</w:t>
        </w:r>
      </w:hyperlink>
      <w:r w:rsidR="00573C5F" w:rsidRPr="004F3808">
        <w:rPr>
          <w:rFonts w:ascii="Times New Roman" w:hAnsi="Times New Roman" w:cs="Times New Roman"/>
          <w:sz w:val="24"/>
          <w:szCs w:val="24"/>
        </w:rPr>
        <w:t>, July 2, 2018</w:t>
      </w:r>
    </w:p>
    <w:p w14:paraId="7053D682" w14:textId="36E93D0C" w:rsidR="00AB1BA3" w:rsidRPr="00AC04C7" w:rsidRDefault="003051F8" w:rsidP="00AC04C7">
      <w:pPr>
        <w:pStyle w:val="ListParagraph"/>
        <w:numPr>
          <w:ilvl w:val="0"/>
          <w:numId w:val="7"/>
        </w:numPr>
        <w:ind w:left="1080"/>
        <w:rPr>
          <w:rFonts w:ascii="Times New Roman" w:hAnsi="Times New Roman" w:cs="Times New Roman"/>
          <w:sz w:val="24"/>
          <w:szCs w:val="24"/>
        </w:rPr>
      </w:pPr>
      <w:r>
        <w:rPr>
          <w:rFonts w:ascii="Times New Roman" w:hAnsi="Times New Roman" w:cs="Times New Roman"/>
          <w:sz w:val="24"/>
          <w:szCs w:val="24"/>
        </w:rPr>
        <w:t xml:space="preserve">      </w:t>
      </w:r>
      <w:r w:rsidR="00573C5F" w:rsidRPr="003051F8">
        <w:rPr>
          <w:rFonts w:ascii="Times New Roman" w:hAnsi="Times New Roman" w:cs="Times New Roman"/>
          <w:sz w:val="24"/>
          <w:szCs w:val="24"/>
        </w:rPr>
        <w:t>Spark Energy</w:t>
      </w:r>
      <w:r w:rsidR="00F53B3E" w:rsidRPr="003051F8">
        <w:rPr>
          <w:rFonts w:ascii="Times New Roman" w:hAnsi="Times New Roman" w:cs="Times New Roman"/>
          <w:sz w:val="24"/>
          <w:szCs w:val="24"/>
        </w:rPr>
        <w:t>, $</w:t>
      </w:r>
      <w:r w:rsidR="00A0671B">
        <w:rPr>
          <w:rFonts w:ascii="Times New Roman" w:hAnsi="Times New Roman" w:cs="Times New Roman"/>
          <w:sz w:val="24"/>
          <w:szCs w:val="24"/>
        </w:rPr>
        <w:t>500</w:t>
      </w:r>
      <w:r w:rsidR="00F53B3E" w:rsidRPr="003051F8">
        <w:rPr>
          <w:rFonts w:ascii="Times New Roman" w:hAnsi="Times New Roman" w:cs="Times New Roman"/>
          <w:sz w:val="24"/>
          <w:szCs w:val="24"/>
        </w:rPr>
        <w:t xml:space="preserve">k </w:t>
      </w:r>
      <w:r w:rsidR="00A0671B">
        <w:rPr>
          <w:rFonts w:ascii="Times New Roman" w:hAnsi="Times New Roman" w:cs="Times New Roman"/>
          <w:sz w:val="24"/>
          <w:szCs w:val="24"/>
        </w:rPr>
        <w:t>Settlement</w:t>
      </w:r>
      <w:r w:rsidR="00F53B3E" w:rsidRPr="003051F8">
        <w:rPr>
          <w:rFonts w:ascii="Times New Roman" w:hAnsi="Times New Roman" w:cs="Times New Roman"/>
          <w:sz w:val="24"/>
          <w:szCs w:val="24"/>
        </w:rPr>
        <w:t xml:space="preserve">, PURA </w:t>
      </w:r>
      <w:hyperlink r:id="rId25" w:history="1">
        <w:r w:rsidR="00A0671B" w:rsidRPr="00A0671B">
          <w:rPr>
            <w:rStyle w:val="Hyperlink"/>
            <w:rFonts w:ascii="Times New Roman" w:hAnsi="Times New Roman" w:cs="Times New Roman"/>
            <w:sz w:val="24"/>
            <w:szCs w:val="24"/>
          </w:rPr>
          <w:t>Decision</w:t>
        </w:r>
      </w:hyperlink>
      <w:r w:rsidR="00F53B3E" w:rsidRPr="003051F8">
        <w:rPr>
          <w:rFonts w:ascii="Times New Roman" w:hAnsi="Times New Roman" w:cs="Times New Roman"/>
          <w:sz w:val="24"/>
          <w:szCs w:val="24"/>
        </w:rPr>
        <w:t xml:space="preserve">, </w:t>
      </w:r>
      <w:r w:rsidR="00A0671B">
        <w:rPr>
          <w:rFonts w:ascii="Times New Roman" w:hAnsi="Times New Roman" w:cs="Times New Roman"/>
          <w:sz w:val="24"/>
          <w:szCs w:val="24"/>
        </w:rPr>
        <w:t>Nov</w:t>
      </w:r>
      <w:r w:rsidR="00F53B3E" w:rsidRPr="003051F8">
        <w:rPr>
          <w:rFonts w:ascii="Times New Roman" w:hAnsi="Times New Roman" w:cs="Times New Roman"/>
          <w:sz w:val="24"/>
          <w:szCs w:val="24"/>
        </w:rPr>
        <w:t xml:space="preserve">. </w:t>
      </w:r>
      <w:r w:rsidR="00A0671B">
        <w:rPr>
          <w:rFonts w:ascii="Times New Roman" w:hAnsi="Times New Roman" w:cs="Times New Roman"/>
          <w:sz w:val="24"/>
          <w:szCs w:val="24"/>
        </w:rPr>
        <w:t>6</w:t>
      </w:r>
      <w:r w:rsidR="00F53B3E" w:rsidRPr="003051F8">
        <w:rPr>
          <w:rFonts w:ascii="Times New Roman" w:hAnsi="Times New Roman" w:cs="Times New Roman"/>
          <w:sz w:val="24"/>
          <w:szCs w:val="24"/>
        </w:rPr>
        <w:t>, 201</w:t>
      </w:r>
      <w:r w:rsidR="00A0671B">
        <w:rPr>
          <w:rFonts w:ascii="Times New Roman" w:hAnsi="Times New Roman" w:cs="Times New Roman"/>
          <w:sz w:val="24"/>
          <w:szCs w:val="24"/>
        </w:rPr>
        <w:t>9</w:t>
      </w:r>
    </w:p>
    <w:p w14:paraId="5B59208D" w14:textId="455041A1" w:rsidR="00834234" w:rsidRPr="00AB1BA3" w:rsidRDefault="003051F8" w:rsidP="00206EEC">
      <w:pPr>
        <w:pStyle w:val="ListParagraph"/>
        <w:numPr>
          <w:ilvl w:val="0"/>
          <w:numId w:val="7"/>
        </w:numPr>
        <w:ind w:left="1080"/>
        <w:rPr>
          <w:rFonts w:ascii="Times New Roman" w:hAnsi="Times New Roman" w:cs="Times New Roman"/>
          <w:sz w:val="24"/>
          <w:szCs w:val="24"/>
        </w:rPr>
      </w:pPr>
      <w:r>
        <w:rPr>
          <w:rFonts w:ascii="Times New Roman" w:hAnsi="Times New Roman" w:cs="Times New Roman"/>
          <w:sz w:val="24"/>
          <w:szCs w:val="24"/>
        </w:rPr>
        <w:t xml:space="preserve">      </w:t>
      </w:r>
      <w:r w:rsidR="00E10412" w:rsidRPr="003051F8">
        <w:rPr>
          <w:rFonts w:ascii="Times New Roman" w:hAnsi="Times New Roman" w:cs="Times New Roman"/>
          <w:sz w:val="24"/>
          <w:szCs w:val="24"/>
        </w:rPr>
        <w:t>Direct Energy</w:t>
      </w:r>
      <w:r w:rsidR="00573C5F" w:rsidRPr="003051F8">
        <w:rPr>
          <w:rFonts w:ascii="Times New Roman" w:hAnsi="Times New Roman" w:cs="Times New Roman"/>
          <w:sz w:val="24"/>
          <w:szCs w:val="24"/>
        </w:rPr>
        <w:t xml:space="preserve">: $1.5M Civil Penalty, </w:t>
      </w:r>
      <w:r w:rsidR="00F53B3E" w:rsidRPr="003051F8">
        <w:rPr>
          <w:rFonts w:ascii="Times New Roman" w:hAnsi="Times New Roman" w:cs="Times New Roman"/>
          <w:sz w:val="24"/>
          <w:szCs w:val="24"/>
        </w:rPr>
        <w:t>PURA</w:t>
      </w:r>
      <w:r w:rsidR="00A0671B">
        <w:rPr>
          <w:rFonts w:ascii="Times New Roman" w:hAnsi="Times New Roman" w:cs="Times New Roman"/>
          <w:sz w:val="24"/>
          <w:szCs w:val="24"/>
        </w:rPr>
        <w:t xml:space="preserve"> </w:t>
      </w:r>
      <w:hyperlink r:id="rId26" w:history="1">
        <w:r w:rsidR="00A0671B" w:rsidRPr="00A0671B">
          <w:rPr>
            <w:rStyle w:val="Hyperlink"/>
            <w:rFonts w:ascii="Times New Roman" w:hAnsi="Times New Roman" w:cs="Times New Roman"/>
            <w:sz w:val="24"/>
            <w:szCs w:val="24"/>
          </w:rPr>
          <w:t>Decision</w:t>
        </w:r>
      </w:hyperlink>
      <w:r w:rsidR="00573C5F" w:rsidRPr="003051F8">
        <w:rPr>
          <w:rFonts w:ascii="Times New Roman" w:hAnsi="Times New Roman" w:cs="Times New Roman"/>
          <w:sz w:val="24"/>
          <w:szCs w:val="24"/>
        </w:rPr>
        <w:t xml:space="preserve">, </w:t>
      </w:r>
      <w:r w:rsidR="00A0671B">
        <w:rPr>
          <w:rFonts w:ascii="Times New Roman" w:hAnsi="Times New Roman" w:cs="Times New Roman"/>
          <w:sz w:val="24"/>
          <w:szCs w:val="24"/>
        </w:rPr>
        <w:t>May 1</w:t>
      </w:r>
      <w:r w:rsidR="00573C5F" w:rsidRPr="003051F8">
        <w:rPr>
          <w:rFonts w:ascii="Times New Roman" w:hAnsi="Times New Roman" w:cs="Times New Roman"/>
          <w:sz w:val="24"/>
          <w:szCs w:val="24"/>
        </w:rPr>
        <w:t>, 201</w:t>
      </w:r>
      <w:r w:rsidR="00A0671B">
        <w:rPr>
          <w:rFonts w:ascii="Times New Roman" w:hAnsi="Times New Roman" w:cs="Times New Roman"/>
          <w:sz w:val="24"/>
          <w:szCs w:val="24"/>
        </w:rPr>
        <w:t>9</w:t>
      </w:r>
    </w:p>
    <w:p w14:paraId="0542ADA6" w14:textId="43A53692" w:rsidR="00AB1BA3" w:rsidRDefault="003051F8" w:rsidP="00206EEC">
      <w:pPr>
        <w:pStyle w:val="ListParagraph"/>
        <w:numPr>
          <w:ilvl w:val="0"/>
          <w:numId w:val="7"/>
        </w:numPr>
        <w:ind w:left="1080"/>
        <w:rPr>
          <w:rFonts w:ascii="Times New Roman" w:hAnsi="Times New Roman" w:cs="Times New Roman"/>
          <w:sz w:val="24"/>
          <w:szCs w:val="24"/>
        </w:rPr>
      </w:pPr>
      <w:r>
        <w:rPr>
          <w:rFonts w:ascii="Times New Roman" w:hAnsi="Times New Roman" w:cs="Times New Roman"/>
          <w:sz w:val="24"/>
          <w:szCs w:val="24"/>
        </w:rPr>
        <w:t xml:space="preserve">      </w:t>
      </w:r>
      <w:r w:rsidR="00E10412" w:rsidRPr="003051F8">
        <w:rPr>
          <w:rFonts w:ascii="Times New Roman" w:hAnsi="Times New Roman" w:cs="Times New Roman"/>
          <w:sz w:val="24"/>
          <w:szCs w:val="24"/>
        </w:rPr>
        <w:t>Liberty Power</w:t>
      </w:r>
      <w:r w:rsidR="00573C5F" w:rsidRPr="003051F8">
        <w:rPr>
          <w:rFonts w:ascii="Times New Roman" w:hAnsi="Times New Roman" w:cs="Times New Roman"/>
          <w:sz w:val="24"/>
          <w:szCs w:val="24"/>
        </w:rPr>
        <w:t>: $</w:t>
      </w:r>
      <w:r w:rsidR="00A0671B">
        <w:rPr>
          <w:rFonts w:ascii="Times New Roman" w:hAnsi="Times New Roman" w:cs="Times New Roman"/>
          <w:sz w:val="24"/>
          <w:szCs w:val="24"/>
        </w:rPr>
        <w:t>750k</w:t>
      </w:r>
      <w:r w:rsidR="00573C5F" w:rsidRPr="003051F8">
        <w:rPr>
          <w:rFonts w:ascii="Times New Roman" w:hAnsi="Times New Roman" w:cs="Times New Roman"/>
          <w:sz w:val="24"/>
          <w:szCs w:val="24"/>
        </w:rPr>
        <w:t xml:space="preserve"> </w:t>
      </w:r>
      <w:r w:rsidR="00A0671B">
        <w:rPr>
          <w:rFonts w:ascii="Times New Roman" w:hAnsi="Times New Roman" w:cs="Times New Roman"/>
          <w:sz w:val="24"/>
          <w:szCs w:val="24"/>
        </w:rPr>
        <w:t>Settlement</w:t>
      </w:r>
      <w:r w:rsidR="00573C5F" w:rsidRPr="003051F8">
        <w:rPr>
          <w:rFonts w:ascii="Times New Roman" w:hAnsi="Times New Roman" w:cs="Times New Roman"/>
          <w:sz w:val="24"/>
          <w:szCs w:val="24"/>
        </w:rPr>
        <w:t xml:space="preserve">, </w:t>
      </w:r>
      <w:r w:rsidR="00F53B3E" w:rsidRPr="003051F8">
        <w:rPr>
          <w:rFonts w:ascii="Times New Roman" w:hAnsi="Times New Roman" w:cs="Times New Roman"/>
          <w:sz w:val="24"/>
          <w:szCs w:val="24"/>
        </w:rPr>
        <w:t xml:space="preserve">PURA </w:t>
      </w:r>
      <w:hyperlink r:id="rId27" w:history="1">
        <w:r w:rsidR="00A0671B" w:rsidRPr="00A0671B">
          <w:rPr>
            <w:rStyle w:val="Hyperlink"/>
            <w:rFonts w:ascii="Times New Roman" w:hAnsi="Times New Roman" w:cs="Times New Roman"/>
            <w:sz w:val="24"/>
            <w:szCs w:val="24"/>
          </w:rPr>
          <w:t>Decision</w:t>
        </w:r>
      </w:hyperlink>
      <w:r w:rsidR="00F53B3E" w:rsidRPr="003051F8">
        <w:rPr>
          <w:rFonts w:ascii="Times New Roman" w:hAnsi="Times New Roman" w:cs="Times New Roman"/>
          <w:sz w:val="24"/>
          <w:szCs w:val="24"/>
        </w:rPr>
        <w:t xml:space="preserve">, </w:t>
      </w:r>
      <w:r w:rsidR="00A0671B">
        <w:rPr>
          <w:rFonts w:ascii="Times New Roman" w:hAnsi="Times New Roman" w:cs="Times New Roman"/>
          <w:sz w:val="24"/>
          <w:szCs w:val="24"/>
        </w:rPr>
        <w:t>Oct</w:t>
      </w:r>
      <w:r w:rsidR="00F53B3E" w:rsidRPr="003051F8">
        <w:rPr>
          <w:rFonts w:ascii="Times New Roman" w:hAnsi="Times New Roman" w:cs="Times New Roman"/>
          <w:sz w:val="24"/>
          <w:szCs w:val="24"/>
        </w:rPr>
        <w:t xml:space="preserve">. </w:t>
      </w:r>
      <w:r w:rsidR="00A0671B">
        <w:rPr>
          <w:rFonts w:ascii="Times New Roman" w:hAnsi="Times New Roman" w:cs="Times New Roman"/>
          <w:sz w:val="24"/>
          <w:szCs w:val="24"/>
        </w:rPr>
        <w:t>30</w:t>
      </w:r>
      <w:r w:rsidR="00573C5F" w:rsidRPr="003051F8">
        <w:rPr>
          <w:rFonts w:ascii="Times New Roman" w:hAnsi="Times New Roman" w:cs="Times New Roman"/>
          <w:sz w:val="24"/>
          <w:szCs w:val="24"/>
        </w:rPr>
        <w:t>, 201</w:t>
      </w:r>
      <w:r w:rsidR="00A0671B">
        <w:rPr>
          <w:rFonts w:ascii="Times New Roman" w:hAnsi="Times New Roman" w:cs="Times New Roman"/>
          <w:sz w:val="24"/>
          <w:szCs w:val="24"/>
        </w:rPr>
        <w:t>9</w:t>
      </w:r>
      <w:r w:rsidR="00E10412" w:rsidRPr="003051F8">
        <w:rPr>
          <w:rFonts w:ascii="Times New Roman" w:hAnsi="Times New Roman" w:cs="Times New Roman"/>
          <w:sz w:val="24"/>
          <w:szCs w:val="24"/>
        </w:rPr>
        <w:t xml:space="preserve"> </w:t>
      </w:r>
      <w:r w:rsidR="00CB054B">
        <w:rPr>
          <w:rFonts w:ascii="Times New Roman" w:hAnsi="Times New Roman" w:cs="Times New Roman"/>
          <w:sz w:val="24"/>
          <w:szCs w:val="24"/>
        </w:rPr>
        <w:t xml:space="preserve"> </w:t>
      </w:r>
    </w:p>
    <w:p w14:paraId="264D4CE0" w14:textId="77777777" w:rsidR="00CB054B" w:rsidRDefault="00CB054B" w:rsidP="00CB054B">
      <w:pPr>
        <w:pStyle w:val="ListParagraph"/>
        <w:numPr>
          <w:ilvl w:val="0"/>
          <w:numId w:val="7"/>
        </w:numPr>
        <w:ind w:left="1080"/>
        <w:rPr>
          <w:rFonts w:ascii="Times New Roman" w:hAnsi="Times New Roman" w:cs="Times New Roman"/>
          <w:sz w:val="24"/>
          <w:szCs w:val="24"/>
        </w:rPr>
      </w:pPr>
      <w:r>
        <w:rPr>
          <w:rFonts w:ascii="Times New Roman" w:hAnsi="Times New Roman" w:cs="Times New Roman"/>
          <w:sz w:val="24"/>
          <w:szCs w:val="24"/>
        </w:rPr>
        <w:t xml:space="preserve">      </w:t>
      </w:r>
      <w:r w:rsidRPr="00CB054B">
        <w:rPr>
          <w:rFonts w:ascii="Times New Roman" w:hAnsi="Times New Roman" w:cs="Times New Roman"/>
          <w:sz w:val="24"/>
          <w:szCs w:val="24"/>
        </w:rPr>
        <w:t xml:space="preserve">PURA Decision in Docket No. 18-06-02, placing all hardship customers using suppliers onto </w:t>
      </w:r>
    </w:p>
    <w:p w14:paraId="6CD3F2E4" w14:textId="77777777" w:rsidR="00CB054B" w:rsidRDefault="00CB054B" w:rsidP="00CB054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B054B">
        <w:rPr>
          <w:rFonts w:ascii="Times New Roman" w:hAnsi="Times New Roman" w:cs="Times New Roman"/>
          <w:sz w:val="24"/>
          <w:szCs w:val="24"/>
        </w:rPr>
        <w:t>standard</w:t>
      </w:r>
      <w:proofErr w:type="gramEnd"/>
      <w:r w:rsidRPr="00CB054B">
        <w:rPr>
          <w:rFonts w:ascii="Times New Roman" w:hAnsi="Times New Roman" w:cs="Times New Roman"/>
          <w:sz w:val="24"/>
          <w:szCs w:val="24"/>
        </w:rPr>
        <w:t xml:space="preserve"> service for the next two years; OCC analysis demonstrated $7.2M in overpayments by </w:t>
      </w:r>
    </w:p>
    <w:p w14:paraId="342B5043" w14:textId="2A5C1978" w:rsidR="00CB054B" w:rsidRDefault="00CB054B" w:rsidP="00CB054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B054B">
        <w:rPr>
          <w:rFonts w:ascii="Times New Roman" w:hAnsi="Times New Roman" w:cs="Times New Roman"/>
          <w:sz w:val="24"/>
          <w:szCs w:val="24"/>
        </w:rPr>
        <w:t>hardship</w:t>
      </w:r>
      <w:proofErr w:type="gramEnd"/>
      <w:r w:rsidRPr="00CB054B">
        <w:rPr>
          <w:rFonts w:ascii="Times New Roman" w:hAnsi="Times New Roman" w:cs="Times New Roman"/>
          <w:sz w:val="24"/>
          <w:szCs w:val="24"/>
        </w:rPr>
        <w:t xml:space="preserve"> customers participating in the retail choice market.</w:t>
      </w:r>
    </w:p>
    <w:p w14:paraId="78C1B151" w14:textId="74E1FE24" w:rsidR="00F02D1B" w:rsidRDefault="00CB054B" w:rsidP="00206EEC">
      <w:pPr>
        <w:pStyle w:val="ListParagraph"/>
        <w:numPr>
          <w:ilvl w:val="0"/>
          <w:numId w:val="7"/>
        </w:numPr>
        <w:ind w:left="108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02D1B">
        <w:rPr>
          <w:rFonts w:ascii="Times New Roman" w:hAnsi="Times New Roman" w:cs="Times New Roman"/>
          <w:sz w:val="24"/>
          <w:szCs w:val="24"/>
        </w:rPr>
        <w:t>Abest</w:t>
      </w:r>
      <w:proofErr w:type="spellEnd"/>
      <w:r w:rsidR="00BA5851">
        <w:rPr>
          <w:rFonts w:ascii="Times New Roman" w:hAnsi="Times New Roman" w:cs="Times New Roman"/>
          <w:sz w:val="24"/>
          <w:szCs w:val="24"/>
        </w:rPr>
        <w:t xml:space="preserve"> Power: $60k Settlement &amp; Permanent Stay-out, PURA </w:t>
      </w:r>
      <w:hyperlink r:id="rId28" w:history="1">
        <w:r w:rsidR="00BA5851" w:rsidRPr="00BA5851">
          <w:rPr>
            <w:rStyle w:val="Hyperlink"/>
            <w:rFonts w:ascii="Times New Roman" w:hAnsi="Times New Roman" w:cs="Times New Roman"/>
            <w:sz w:val="24"/>
            <w:szCs w:val="24"/>
          </w:rPr>
          <w:t>Decision</w:t>
        </w:r>
      </w:hyperlink>
      <w:r w:rsidR="00BA5851">
        <w:rPr>
          <w:rFonts w:ascii="Times New Roman" w:hAnsi="Times New Roman" w:cs="Times New Roman"/>
          <w:sz w:val="24"/>
          <w:szCs w:val="24"/>
        </w:rPr>
        <w:t xml:space="preserve">, Dec. 18, 2019 </w:t>
      </w:r>
    </w:p>
    <w:p w14:paraId="39BC7533" w14:textId="7C39E3E4" w:rsidR="00BA5851" w:rsidRDefault="00BA5851" w:rsidP="00206EEC">
      <w:pPr>
        <w:pStyle w:val="ListParagraph"/>
        <w:numPr>
          <w:ilvl w:val="0"/>
          <w:numId w:val="7"/>
        </w:numPr>
        <w:ind w:left="1080"/>
        <w:rPr>
          <w:rFonts w:ascii="Times New Roman" w:hAnsi="Times New Roman" w:cs="Times New Roman"/>
          <w:sz w:val="24"/>
          <w:szCs w:val="24"/>
        </w:rPr>
      </w:pPr>
      <w:r>
        <w:rPr>
          <w:rFonts w:ascii="Times New Roman" w:hAnsi="Times New Roman" w:cs="Times New Roman"/>
          <w:sz w:val="24"/>
          <w:szCs w:val="24"/>
        </w:rPr>
        <w:t xml:space="preserve"> </w:t>
      </w:r>
      <w:r w:rsidR="00CB054B">
        <w:rPr>
          <w:rFonts w:ascii="Times New Roman" w:hAnsi="Times New Roman" w:cs="Times New Roman"/>
          <w:sz w:val="24"/>
          <w:szCs w:val="24"/>
        </w:rPr>
        <w:t xml:space="preserve">     </w:t>
      </w:r>
      <w:r>
        <w:rPr>
          <w:rFonts w:ascii="Times New Roman" w:hAnsi="Times New Roman" w:cs="Times New Roman"/>
          <w:sz w:val="24"/>
          <w:szCs w:val="24"/>
        </w:rPr>
        <w:t xml:space="preserve">Clearview Energy: $9k Settlement, PURA </w:t>
      </w:r>
      <w:hyperlink r:id="rId29" w:history="1">
        <w:r w:rsidRPr="00BA5851">
          <w:rPr>
            <w:rStyle w:val="Hyperlink"/>
            <w:rFonts w:ascii="Times New Roman" w:hAnsi="Times New Roman" w:cs="Times New Roman"/>
            <w:sz w:val="24"/>
            <w:szCs w:val="24"/>
          </w:rPr>
          <w:t>Decision</w:t>
        </w:r>
      </w:hyperlink>
      <w:r>
        <w:rPr>
          <w:rFonts w:ascii="Times New Roman" w:hAnsi="Times New Roman" w:cs="Times New Roman"/>
          <w:sz w:val="24"/>
          <w:szCs w:val="24"/>
        </w:rPr>
        <w:t>, Jan. 15, 2020</w:t>
      </w:r>
    </w:p>
    <w:p w14:paraId="0DE8FA46" w14:textId="55B57165" w:rsidR="00BA5851" w:rsidRDefault="00CB054B" w:rsidP="00206EEC">
      <w:pPr>
        <w:pStyle w:val="ListParagraph"/>
        <w:numPr>
          <w:ilvl w:val="0"/>
          <w:numId w:val="7"/>
        </w:numPr>
        <w:ind w:left="1080"/>
        <w:rPr>
          <w:rFonts w:ascii="Times New Roman" w:hAnsi="Times New Roman" w:cs="Times New Roman"/>
          <w:sz w:val="24"/>
          <w:szCs w:val="24"/>
        </w:rPr>
      </w:pPr>
      <w:r>
        <w:rPr>
          <w:rFonts w:ascii="Times New Roman" w:hAnsi="Times New Roman" w:cs="Times New Roman"/>
          <w:sz w:val="24"/>
          <w:szCs w:val="24"/>
        </w:rPr>
        <w:t xml:space="preserve">      </w:t>
      </w:r>
      <w:r w:rsidR="00BA5851">
        <w:rPr>
          <w:rFonts w:ascii="Times New Roman" w:hAnsi="Times New Roman" w:cs="Times New Roman"/>
          <w:sz w:val="24"/>
          <w:szCs w:val="24"/>
        </w:rPr>
        <w:t xml:space="preserve">Think Energy: $21k </w:t>
      </w:r>
      <w:hyperlink r:id="rId30" w:history="1">
        <w:r w:rsidR="00BA5851" w:rsidRPr="00340A11">
          <w:rPr>
            <w:rStyle w:val="Hyperlink"/>
            <w:rFonts w:ascii="Times New Roman" w:hAnsi="Times New Roman" w:cs="Times New Roman"/>
            <w:sz w:val="24"/>
            <w:szCs w:val="24"/>
          </w:rPr>
          <w:t>Proposed Settlement</w:t>
        </w:r>
      </w:hyperlink>
      <w:r w:rsidR="00340A11">
        <w:rPr>
          <w:rFonts w:ascii="Times New Roman" w:hAnsi="Times New Roman" w:cs="Times New Roman"/>
          <w:sz w:val="24"/>
          <w:szCs w:val="24"/>
        </w:rPr>
        <w:t xml:space="preserve"> (pending), Jan. 21, 2020 </w:t>
      </w:r>
    </w:p>
    <w:p w14:paraId="3DD6139D" w14:textId="477489F9" w:rsidR="00340A11" w:rsidRDefault="00CB054B" w:rsidP="00206EEC">
      <w:pPr>
        <w:pStyle w:val="ListParagraph"/>
        <w:numPr>
          <w:ilvl w:val="0"/>
          <w:numId w:val="7"/>
        </w:numPr>
        <w:ind w:left="1080"/>
        <w:rPr>
          <w:rFonts w:ascii="Times New Roman" w:hAnsi="Times New Roman" w:cs="Times New Roman"/>
          <w:sz w:val="24"/>
          <w:szCs w:val="24"/>
        </w:rPr>
      </w:pPr>
      <w:r>
        <w:rPr>
          <w:rFonts w:ascii="Times New Roman" w:hAnsi="Times New Roman" w:cs="Times New Roman"/>
          <w:sz w:val="24"/>
          <w:szCs w:val="24"/>
        </w:rPr>
        <w:t xml:space="preserve">      </w:t>
      </w:r>
      <w:r w:rsidR="00340A11">
        <w:rPr>
          <w:rFonts w:ascii="Times New Roman" w:hAnsi="Times New Roman" w:cs="Times New Roman"/>
          <w:sz w:val="24"/>
          <w:szCs w:val="24"/>
        </w:rPr>
        <w:t>Discount Power: PURA Investigation into Marketing (pending)</w:t>
      </w:r>
    </w:p>
    <w:p w14:paraId="58BB531D" w14:textId="5C3CEB3B" w:rsidR="00340A11" w:rsidRDefault="00340A11" w:rsidP="00206EEC">
      <w:pPr>
        <w:pStyle w:val="ListParagraph"/>
        <w:numPr>
          <w:ilvl w:val="0"/>
          <w:numId w:val="7"/>
        </w:numPr>
        <w:ind w:left="1080"/>
        <w:rPr>
          <w:rFonts w:ascii="Times New Roman" w:hAnsi="Times New Roman" w:cs="Times New Roman"/>
          <w:sz w:val="24"/>
          <w:szCs w:val="24"/>
        </w:rPr>
      </w:pPr>
      <w:r>
        <w:rPr>
          <w:rFonts w:ascii="Times New Roman" w:hAnsi="Times New Roman" w:cs="Times New Roman"/>
          <w:sz w:val="24"/>
          <w:szCs w:val="24"/>
        </w:rPr>
        <w:t xml:space="preserve"> </w:t>
      </w:r>
      <w:r w:rsidR="00CB054B">
        <w:rPr>
          <w:rFonts w:ascii="Times New Roman" w:hAnsi="Times New Roman" w:cs="Times New Roman"/>
          <w:sz w:val="24"/>
          <w:szCs w:val="24"/>
        </w:rPr>
        <w:t xml:space="preserve">     T</w:t>
      </w:r>
      <w:r>
        <w:rPr>
          <w:rFonts w:ascii="Times New Roman" w:hAnsi="Times New Roman" w:cs="Times New Roman"/>
          <w:sz w:val="24"/>
          <w:szCs w:val="24"/>
        </w:rPr>
        <w:t xml:space="preserve">own Square Energy: </w:t>
      </w:r>
      <w:r w:rsidR="000D2E71">
        <w:rPr>
          <w:rFonts w:ascii="Times New Roman" w:hAnsi="Times New Roman" w:cs="Times New Roman"/>
          <w:sz w:val="24"/>
          <w:szCs w:val="24"/>
        </w:rPr>
        <w:t>PURA Investigation into Marketing (pending)</w:t>
      </w:r>
    </w:p>
    <w:p w14:paraId="25705AA6" w14:textId="696EC71A" w:rsidR="000D2E71" w:rsidRDefault="00CB054B" w:rsidP="00206EEC">
      <w:pPr>
        <w:pStyle w:val="ListParagraph"/>
        <w:numPr>
          <w:ilvl w:val="0"/>
          <w:numId w:val="7"/>
        </w:numPr>
        <w:ind w:left="1080"/>
        <w:rPr>
          <w:rFonts w:ascii="Times New Roman" w:hAnsi="Times New Roman" w:cs="Times New Roman"/>
          <w:sz w:val="24"/>
          <w:szCs w:val="24"/>
        </w:rPr>
      </w:pPr>
      <w:r>
        <w:rPr>
          <w:rFonts w:ascii="Times New Roman" w:hAnsi="Times New Roman" w:cs="Times New Roman"/>
          <w:sz w:val="24"/>
          <w:szCs w:val="24"/>
        </w:rPr>
        <w:t xml:space="preserve">      </w:t>
      </w:r>
      <w:r w:rsidR="000D2E71">
        <w:rPr>
          <w:rFonts w:ascii="Times New Roman" w:hAnsi="Times New Roman" w:cs="Times New Roman"/>
          <w:sz w:val="24"/>
          <w:szCs w:val="24"/>
        </w:rPr>
        <w:t xml:space="preserve">Spark Energy: PURA Investigation into Marketing,  Billing, and Enrollment Practices (pending) </w:t>
      </w:r>
    </w:p>
    <w:p w14:paraId="62526759" w14:textId="7926E4C3" w:rsidR="000D2E71" w:rsidRDefault="00CB054B" w:rsidP="00206EEC">
      <w:pPr>
        <w:pStyle w:val="ListParagraph"/>
        <w:numPr>
          <w:ilvl w:val="0"/>
          <w:numId w:val="7"/>
        </w:numPr>
        <w:ind w:left="1080"/>
        <w:rPr>
          <w:rFonts w:ascii="Times New Roman" w:hAnsi="Times New Roman" w:cs="Times New Roman"/>
          <w:sz w:val="24"/>
          <w:szCs w:val="24"/>
        </w:rPr>
      </w:pPr>
      <w:r>
        <w:rPr>
          <w:rFonts w:ascii="Times New Roman" w:hAnsi="Times New Roman" w:cs="Times New Roman"/>
          <w:sz w:val="24"/>
          <w:szCs w:val="24"/>
        </w:rPr>
        <w:t xml:space="preserve">      </w:t>
      </w:r>
      <w:r w:rsidR="000D2E71">
        <w:rPr>
          <w:rFonts w:ascii="Times New Roman" w:hAnsi="Times New Roman" w:cs="Times New Roman"/>
          <w:sz w:val="24"/>
          <w:szCs w:val="24"/>
        </w:rPr>
        <w:t xml:space="preserve">Public Power: PURA Investigation into Marketing (pending) </w:t>
      </w:r>
    </w:p>
    <w:p w14:paraId="0E53A165" w14:textId="77777777" w:rsidR="006D639E" w:rsidRPr="00FF2587" w:rsidRDefault="006D639E" w:rsidP="006D639E">
      <w:pPr>
        <w:pStyle w:val="ListParagraph"/>
        <w:ind w:left="1080"/>
        <w:rPr>
          <w:rFonts w:ascii="Times New Roman" w:hAnsi="Times New Roman" w:cs="Times New Roman"/>
          <w:sz w:val="24"/>
          <w:szCs w:val="24"/>
        </w:rPr>
      </w:pPr>
    </w:p>
    <w:p w14:paraId="39634DEC" w14:textId="77777777" w:rsidR="00AB1BA3" w:rsidRPr="00AB1BA3" w:rsidRDefault="005C3960" w:rsidP="00206EEC">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u w:val="single"/>
        </w:rPr>
        <w:t xml:space="preserve">The Retail Electric Choice Electric Market Causes a </w:t>
      </w:r>
      <w:r w:rsidR="00AB1BA3">
        <w:rPr>
          <w:rFonts w:ascii="Times New Roman" w:hAnsi="Times New Roman" w:cs="Times New Roman"/>
          <w:b/>
          <w:sz w:val="24"/>
          <w:szCs w:val="24"/>
          <w:u w:val="single"/>
        </w:rPr>
        <w:t>State &amp; Regulatory Resource Drain</w:t>
      </w:r>
    </w:p>
    <w:p w14:paraId="31B13359" w14:textId="77777777" w:rsidR="00A8675F" w:rsidRPr="00A8675F" w:rsidRDefault="00AB1BA3" w:rsidP="00206EEC">
      <w:pPr>
        <w:pStyle w:val="ListParagraph"/>
        <w:spacing w:after="0"/>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All of the above</w:t>
      </w:r>
      <w:r w:rsidR="00A8675F">
        <w:rPr>
          <w:rFonts w:ascii="Times New Roman" w:hAnsi="Times New Roman" w:cs="Times New Roman"/>
          <w:sz w:val="24"/>
          <w:szCs w:val="24"/>
        </w:rPr>
        <w:t xml:space="preserve"> and </w:t>
      </w:r>
      <w:r w:rsidR="00206EEC">
        <w:rPr>
          <w:rFonts w:ascii="Times New Roman" w:hAnsi="Times New Roman" w:cs="Times New Roman"/>
          <w:sz w:val="24"/>
          <w:szCs w:val="24"/>
        </w:rPr>
        <w:t xml:space="preserve">the sampling of </w:t>
      </w:r>
      <w:r w:rsidR="00A8675F">
        <w:rPr>
          <w:rFonts w:ascii="Times New Roman" w:hAnsi="Times New Roman" w:cs="Times New Roman"/>
          <w:sz w:val="24"/>
          <w:szCs w:val="24"/>
        </w:rPr>
        <w:t xml:space="preserve">below PURA </w:t>
      </w:r>
      <w:r>
        <w:rPr>
          <w:rFonts w:ascii="Times New Roman" w:hAnsi="Times New Roman" w:cs="Times New Roman"/>
          <w:sz w:val="24"/>
          <w:szCs w:val="24"/>
        </w:rPr>
        <w:t>enforcement proceedings</w:t>
      </w:r>
      <w:r w:rsidR="00A8675F">
        <w:rPr>
          <w:rFonts w:ascii="Times New Roman" w:hAnsi="Times New Roman" w:cs="Times New Roman"/>
          <w:sz w:val="24"/>
          <w:szCs w:val="24"/>
        </w:rPr>
        <w:t xml:space="preserve"> </w:t>
      </w:r>
      <w:r w:rsidR="00C87B2B">
        <w:rPr>
          <w:rFonts w:ascii="Times New Roman" w:hAnsi="Times New Roman" w:cs="Times New Roman"/>
          <w:sz w:val="24"/>
          <w:szCs w:val="24"/>
        </w:rPr>
        <w:t xml:space="preserve">involved thousands and thousands of work hours </w:t>
      </w:r>
      <w:r w:rsidR="00CE624D">
        <w:rPr>
          <w:rFonts w:ascii="Times New Roman" w:hAnsi="Times New Roman" w:cs="Times New Roman"/>
          <w:sz w:val="24"/>
          <w:szCs w:val="24"/>
        </w:rPr>
        <w:t xml:space="preserve">by staff </w:t>
      </w:r>
      <w:r w:rsidR="00A8675F" w:rsidRPr="00A8675F">
        <w:rPr>
          <w:rFonts w:ascii="Times New Roman" w:hAnsi="Times New Roman" w:cs="Times New Roman"/>
          <w:sz w:val="24"/>
          <w:szCs w:val="24"/>
        </w:rPr>
        <w:t xml:space="preserve">of resource-strapped state agencies (PURA, OCC, AGO) </w:t>
      </w:r>
    </w:p>
    <w:p w14:paraId="760BA449" w14:textId="77777777" w:rsidR="00084232" w:rsidRDefault="00AB1BA3" w:rsidP="00206EEC">
      <w:pPr>
        <w:pStyle w:val="ListParagraph"/>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PURA Docket No. 13-07-18</w:t>
      </w:r>
      <w:r w:rsidR="00084232">
        <w:rPr>
          <w:rFonts w:ascii="Times New Roman" w:hAnsi="Times New Roman" w:cs="Times New Roman"/>
          <w:sz w:val="24"/>
          <w:szCs w:val="24"/>
        </w:rPr>
        <w:t>: Es</w:t>
      </w:r>
      <w:r w:rsidR="00263C34">
        <w:rPr>
          <w:rFonts w:ascii="Times New Roman" w:hAnsi="Times New Roman" w:cs="Times New Roman"/>
          <w:sz w:val="24"/>
          <w:szCs w:val="24"/>
        </w:rPr>
        <w:t>tablishment of Rules for Third-P</w:t>
      </w:r>
      <w:r w:rsidR="00084232">
        <w:rPr>
          <w:rFonts w:ascii="Times New Roman" w:hAnsi="Times New Roman" w:cs="Times New Roman"/>
          <w:sz w:val="24"/>
          <w:szCs w:val="24"/>
        </w:rPr>
        <w:t>arty Electric Suppliers and Electric Utilities Concerning Operations &amp; Marketing in the Electric Retail Market</w:t>
      </w:r>
    </w:p>
    <w:p w14:paraId="37AA853F" w14:textId="77777777" w:rsidR="00AB1BA3" w:rsidRDefault="00263C34" w:rsidP="00206EEC">
      <w:pPr>
        <w:pStyle w:val="ListParagrap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PURA Docket Nos. 14-07-19, 14-07-19RE01, 14-07-19</w:t>
      </w:r>
      <w:r w:rsidR="00AB1BA3">
        <w:rPr>
          <w:rFonts w:ascii="Times New Roman" w:hAnsi="Times New Roman" w:cs="Times New Roman"/>
          <w:sz w:val="24"/>
          <w:szCs w:val="24"/>
        </w:rPr>
        <w:t>RE02, 14-07-1</w:t>
      </w:r>
      <w:r>
        <w:rPr>
          <w:rFonts w:ascii="Times New Roman" w:hAnsi="Times New Roman" w:cs="Times New Roman"/>
          <w:sz w:val="24"/>
          <w:szCs w:val="24"/>
        </w:rPr>
        <w:t>9RE03, 14-07-19</w:t>
      </w:r>
      <w:r w:rsidR="00AB1BA3">
        <w:rPr>
          <w:rFonts w:ascii="Times New Roman" w:hAnsi="Times New Roman" w:cs="Times New Roman"/>
          <w:sz w:val="24"/>
          <w:szCs w:val="24"/>
        </w:rPr>
        <w:t xml:space="preserve">RE04, </w:t>
      </w:r>
    </w:p>
    <w:p w14:paraId="23C69E20" w14:textId="2B994975" w:rsidR="00AB1BA3" w:rsidRPr="000C0846" w:rsidRDefault="00263C34" w:rsidP="00206EEC">
      <w:pPr>
        <w:pStyle w:val="ListParagraph"/>
        <w:ind w:left="1440"/>
        <w:rPr>
          <w:rFonts w:ascii="Times New Roman" w:hAnsi="Times New Roman" w:cs="Times New Roman"/>
          <w:sz w:val="24"/>
          <w:szCs w:val="24"/>
        </w:rPr>
      </w:pPr>
      <w:r>
        <w:rPr>
          <w:rFonts w:ascii="Times New Roman" w:hAnsi="Times New Roman" w:cs="Times New Roman"/>
          <w:sz w:val="24"/>
          <w:szCs w:val="24"/>
        </w:rPr>
        <w:t>14-07-19</w:t>
      </w:r>
      <w:r w:rsidR="00AB1BA3">
        <w:rPr>
          <w:rFonts w:ascii="Times New Roman" w:hAnsi="Times New Roman" w:cs="Times New Roman"/>
          <w:sz w:val="24"/>
          <w:szCs w:val="24"/>
        </w:rPr>
        <w:t>RE05</w:t>
      </w:r>
      <w:r w:rsidR="00340A11">
        <w:rPr>
          <w:rFonts w:ascii="Times New Roman" w:hAnsi="Times New Roman" w:cs="Times New Roman"/>
          <w:sz w:val="24"/>
          <w:szCs w:val="24"/>
        </w:rPr>
        <w:t>, and 18-12-22</w:t>
      </w:r>
      <w:r w:rsidR="007B7CEA">
        <w:rPr>
          <w:rFonts w:ascii="Times New Roman" w:hAnsi="Times New Roman" w:cs="Times New Roman"/>
          <w:sz w:val="24"/>
          <w:szCs w:val="24"/>
        </w:rPr>
        <w:t xml:space="preserve"> (ongoing)</w:t>
      </w:r>
      <w:r w:rsidR="00AB1BA3">
        <w:rPr>
          <w:rFonts w:ascii="Times New Roman" w:hAnsi="Times New Roman" w:cs="Times New Roman"/>
          <w:sz w:val="24"/>
          <w:szCs w:val="24"/>
        </w:rPr>
        <w:t>: all investigating issues related to</w:t>
      </w:r>
      <w:r w:rsidR="000C0846">
        <w:rPr>
          <w:rFonts w:ascii="Times New Roman" w:hAnsi="Times New Roman" w:cs="Times New Roman"/>
          <w:sz w:val="24"/>
          <w:szCs w:val="24"/>
        </w:rPr>
        <w:t xml:space="preserve"> supplier information in</w:t>
      </w:r>
      <w:r w:rsidR="00AB1BA3">
        <w:rPr>
          <w:rFonts w:ascii="Times New Roman" w:hAnsi="Times New Roman" w:cs="Times New Roman"/>
          <w:sz w:val="24"/>
          <w:szCs w:val="24"/>
        </w:rPr>
        <w:t xml:space="preserve"> the residential </w:t>
      </w:r>
      <w:r w:rsidR="0025407E" w:rsidRPr="000C0846">
        <w:rPr>
          <w:rFonts w:ascii="Times New Roman" w:hAnsi="Times New Roman" w:cs="Times New Roman"/>
          <w:sz w:val="24"/>
          <w:szCs w:val="24"/>
        </w:rPr>
        <w:t xml:space="preserve">electric </w:t>
      </w:r>
      <w:r w:rsidR="00AB1BA3" w:rsidRPr="000C0846">
        <w:rPr>
          <w:rFonts w:ascii="Times New Roman" w:hAnsi="Times New Roman" w:cs="Times New Roman"/>
          <w:sz w:val="24"/>
          <w:szCs w:val="24"/>
        </w:rPr>
        <w:t>bill redesign</w:t>
      </w:r>
      <w:r w:rsidR="000C0846" w:rsidRPr="000C0846">
        <w:rPr>
          <w:rFonts w:ascii="Times New Roman" w:hAnsi="Times New Roman" w:cs="Times New Roman"/>
          <w:sz w:val="24"/>
          <w:szCs w:val="24"/>
        </w:rPr>
        <w:t xml:space="preserve"> </w:t>
      </w:r>
    </w:p>
    <w:p w14:paraId="15ACFC1B" w14:textId="77777777" w:rsidR="00AB1BA3" w:rsidRPr="002F7BF6" w:rsidRDefault="00AB1BA3" w:rsidP="002F7BF6">
      <w:pPr>
        <w:pStyle w:val="ListParagraph"/>
        <w:spacing w:after="0"/>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PURA Docket Nos. 14-07-20 &amp; 14-07-20RE01</w:t>
      </w:r>
      <w:r w:rsidR="002F7BF6">
        <w:rPr>
          <w:rFonts w:ascii="Times New Roman" w:hAnsi="Times New Roman" w:cs="Times New Roman"/>
          <w:sz w:val="24"/>
          <w:szCs w:val="24"/>
        </w:rPr>
        <w:t xml:space="preserve"> (ongoing)</w:t>
      </w:r>
      <w:r>
        <w:rPr>
          <w:rFonts w:ascii="Times New Roman" w:hAnsi="Times New Roman" w:cs="Times New Roman"/>
          <w:sz w:val="24"/>
          <w:szCs w:val="24"/>
        </w:rPr>
        <w:t xml:space="preserve">: </w:t>
      </w:r>
      <w:r w:rsidR="0025407E">
        <w:rPr>
          <w:rFonts w:ascii="Times New Roman" w:hAnsi="Times New Roman" w:cs="Times New Roman"/>
          <w:sz w:val="24"/>
          <w:szCs w:val="24"/>
        </w:rPr>
        <w:t xml:space="preserve">establishing </w:t>
      </w:r>
      <w:r>
        <w:rPr>
          <w:rFonts w:ascii="Times New Roman" w:hAnsi="Times New Roman" w:cs="Times New Roman"/>
          <w:sz w:val="24"/>
          <w:szCs w:val="24"/>
        </w:rPr>
        <w:t xml:space="preserve">third-party electric supplier </w:t>
      </w:r>
      <w:r w:rsidRPr="002F7BF6">
        <w:rPr>
          <w:rFonts w:ascii="Times New Roman" w:hAnsi="Times New Roman" w:cs="Times New Roman"/>
          <w:sz w:val="24"/>
          <w:szCs w:val="24"/>
        </w:rPr>
        <w:t>marketing standards</w:t>
      </w:r>
    </w:p>
    <w:p w14:paraId="2E8F9CB9" w14:textId="258D7196" w:rsidR="00FF2587" w:rsidRDefault="00AB1BA3" w:rsidP="00CB054B">
      <w:pPr>
        <w:spacing w:after="0"/>
        <w:ind w:left="1440" w:hanging="720"/>
        <w:rPr>
          <w:rFonts w:ascii="Times New Roman" w:hAnsi="Times New Roman" w:cs="Times New Roman"/>
          <w:sz w:val="24"/>
          <w:szCs w:val="24"/>
        </w:rPr>
      </w:pPr>
      <w:r w:rsidRPr="00AB1BA3">
        <w:rPr>
          <w:rFonts w:ascii="Times New Roman" w:hAnsi="Times New Roman" w:cs="Times New Roman"/>
          <w:sz w:val="24"/>
          <w:szCs w:val="24"/>
        </w:rPr>
        <w:t>E.</w:t>
      </w:r>
      <w:r w:rsidRPr="00AB1BA3">
        <w:rPr>
          <w:rFonts w:ascii="Times New Roman" w:hAnsi="Times New Roman" w:cs="Times New Roman"/>
          <w:sz w:val="24"/>
          <w:szCs w:val="24"/>
        </w:rPr>
        <w:tab/>
        <w:t xml:space="preserve">PURA Docket No. 18-06-02: </w:t>
      </w:r>
      <w:r w:rsidR="00340A11">
        <w:rPr>
          <w:rFonts w:ascii="Times New Roman" w:hAnsi="Times New Roman" w:cs="Times New Roman"/>
          <w:sz w:val="24"/>
          <w:szCs w:val="24"/>
        </w:rPr>
        <w:t xml:space="preserve">placed all hardship customers using suppliers onto utility standard service in response to overwhelming evidence of overpayment and consumer harm </w:t>
      </w:r>
    </w:p>
    <w:p w14:paraId="567C335B" w14:textId="6A0B1AFF" w:rsidR="000D2E71" w:rsidRDefault="000D2E71" w:rsidP="00206EEC">
      <w:pPr>
        <w:spacing w:after="0"/>
        <w:ind w:left="1440" w:hanging="720"/>
        <w:rPr>
          <w:rFonts w:ascii="Times New Roman" w:hAnsi="Times New Roman" w:cs="Times New Roman"/>
          <w:sz w:val="24"/>
          <w:szCs w:val="24"/>
        </w:rPr>
      </w:pPr>
      <w:r>
        <w:rPr>
          <w:rFonts w:ascii="Times New Roman" w:hAnsi="Times New Roman" w:cs="Times New Roman"/>
          <w:sz w:val="24"/>
          <w:szCs w:val="24"/>
        </w:rPr>
        <w:t>F.         PURA Docket No. 19-10-41</w:t>
      </w:r>
      <w:r w:rsidR="00CB054B">
        <w:rPr>
          <w:rFonts w:ascii="Times New Roman" w:hAnsi="Times New Roman" w:cs="Times New Roman"/>
          <w:sz w:val="24"/>
          <w:szCs w:val="24"/>
        </w:rPr>
        <w:t xml:space="preserve"> (ongoing)</w:t>
      </w:r>
      <w:r>
        <w:rPr>
          <w:rFonts w:ascii="Times New Roman" w:hAnsi="Times New Roman" w:cs="Times New Roman"/>
          <w:sz w:val="24"/>
          <w:szCs w:val="24"/>
        </w:rPr>
        <w:t>: Regulations for supplier licensing</w:t>
      </w:r>
    </w:p>
    <w:p w14:paraId="75CB1534" w14:textId="50E61051" w:rsidR="00340A11" w:rsidRDefault="000D2E71" w:rsidP="00206EEC">
      <w:pPr>
        <w:spacing w:after="0"/>
        <w:ind w:left="1440" w:hanging="720"/>
        <w:rPr>
          <w:rFonts w:ascii="Times New Roman" w:hAnsi="Times New Roman" w:cs="Times New Roman"/>
          <w:sz w:val="24"/>
          <w:szCs w:val="24"/>
        </w:rPr>
      </w:pPr>
      <w:r>
        <w:rPr>
          <w:rFonts w:ascii="Times New Roman" w:hAnsi="Times New Roman" w:cs="Times New Roman"/>
          <w:sz w:val="24"/>
          <w:szCs w:val="24"/>
        </w:rPr>
        <w:t>G</w:t>
      </w:r>
      <w:r w:rsidR="00340A11">
        <w:rPr>
          <w:rFonts w:ascii="Times New Roman" w:hAnsi="Times New Roman" w:cs="Times New Roman"/>
          <w:sz w:val="24"/>
          <w:szCs w:val="24"/>
        </w:rPr>
        <w:t>.         PURA Docket No. 20-01-33 (ongoing): PURA review of electric utilities’ payment to licensed electric suppliers for uncollectible customer accounts</w:t>
      </w:r>
      <w:r w:rsidR="00432CAC">
        <w:rPr>
          <w:rFonts w:ascii="Times New Roman" w:hAnsi="Times New Roman" w:cs="Times New Roman"/>
          <w:sz w:val="24"/>
          <w:szCs w:val="24"/>
        </w:rPr>
        <w:t>.</w:t>
      </w:r>
    </w:p>
    <w:p w14:paraId="250CDA28" w14:textId="7919E521" w:rsidR="00432CAC" w:rsidRDefault="00432CAC" w:rsidP="00206EEC">
      <w:pPr>
        <w:spacing w:after="0"/>
        <w:ind w:left="1440" w:hanging="720"/>
        <w:rPr>
          <w:rFonts w:ascii="Times New Roman" w:hAnsi="Times New Roman" w:cs="Times New Roman"/>
          <w:sz w:val="24"/>
          <w:szCs w:val="24"/>
        </w:rPr>
      </w:pPr>
    </w:p>
    <w:p w14:paraId="71781075" w14:textId="77777777" w:rsidR="00432CAC" w:rsidRDefault="00432CAC" w:rsidP="00206EEC">
      <w:pPr>
        <w:spacing w:after="0"/>
        <w:ind w:left="1440" w:hanging="720"/>
        <w:rPr>
          <w:rFonts w:ascii="Times New Roman" w:hAnsi="Times New Roman" w:cs="Times New Roman"/>
          <w:sz w:val="24"/>
          <w:szCs w:val="24"/>
        </w:rPr>
      </w:pPr>
    </w:p>
    <w:p w14:paraId="68D13A5D" w14:textId="77777777" w:rsidR="00CB054B" w:rsidRDefault="00CB054B" w:rsidP="00206EEC">
      <w:pPr>
        <w:spacing w:after="0"/>
        <w:ind w:left="1440" w:hanging="720"/>
        <w:rPr>
          <w:rFonts w:ascii="Times New Roman" w:hAnsi="Times New Roman" w:cs="Times New Roman"/>
          <w:sz w:val="24"/>
          <w:szCs w:val="24"/>
        </w:rPr>
      </w:pPr>
    </w:p>
    <w:p w14:paraId="0AF9625B" w14:textId="77777777" w:rsidR="006D639E" w:rsidRPr="00AB1BA3" w:rsidRDefault="006D639E" w:rsidP="00206EEC">
      <w:pPr>
        <w:spacing w:after="0"/>
        <w:ind w:left="1440" w:hanging="720"/>
        <w:rPr>
          <w:rFonts w:ascii="Times New Roman" w:hAnsi="Times New Roman" w:cs="Times New Roman"/>
          <w:sz w:val="24"/>
          <w:szCs w:val="24"/>
        </w:rPr>
      </w:pPr>
    </w:p>
    <w:p w14:paraId="1C3EF748" w14:textId="77777777" w:rsidR="00007DD9" w:rsidRDefault="00A86C78" w:rsidP="00206EEC">
      <w:pPr>
        <w:pStyle w:val="ListParagraph"/>
        <w:numPr>
          <w:ilvl w:val="0"/>
          <w:numId w:val="4"/>
        </w:numPr>
        <w:spacing w:after="0"/>
        <w:rPr>
          <w:rFonts w:ascii="Times New Roman" w:hAnsi="Times New Roman" w:cs="Times New Roman"/>
          <w:sz w:val="24"/>
          <w:szCs w:val="24"/>
        </w:rPr>
      </w:pPr>
      <w:r w:rsidRPr="00A86C78">
        <w:rPr>
          <w:rFonts w:ascii="Times New Roman" w:hAnsi="Times New Roman" w:cs="Times New Roman"/>
          <w:b/>
          <w:sz w:val="24"/>
          <w:szCs w:val="24"/>
          <w:u w:val="single"/>
        </w:rPr>
        <w:t>Other State</w:t>
      </w:r>
      <w:r w:rsidR="00007DD9">
        <w:rPr>
          <w:rFonts w:ascii="Times New Roman" w:hAnsi="Times New Roman" w:cs="Times New Roman"/>
          <w:b/>
          <w:sz w:val="24"/>
          <w:szCs w:val="24"/>
          <w:u w:val="single"/>
        </w:rPr>
        <w:t xml:space="preserve"> Actors Have Called for the End of Residential Retail Choice</w:t>
      </w:r>
    </w:p>
    <w:p w14:paraId="36A13DCE" w14:textId="77777777" w:rsidR="0025407E" w:rsidRDefault="00007DD9" w:rsidP="00206EEC">
      <w:pPr>
        <w:pStyle w:val="ListParagraph"/>
        <w:ind w:left="0"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712E11">
        <w:rPr>
          <w:rFonts w:ascii="Times New Roman" w:hAnsi="Times New Roman" w:cs="Times New Roman"/>
          <w:sz w:val="24"/>
          <w:szCs w:val="24"/>
        </w:rPr>
        <w:t xml:space="preserve">The MA Attorney General Has Co-Sponsored </w:t>
      </w:r>
      <w:hyperlink r:id="rId31" w:history="1">
        <w:r w:rsidR="00712E11" w:rsidRPr="00007DD9">
          <w:rPr>
            <w:rStyle w:val="Hyperlink"/>
            <w:rFonts w:ascii="Times New Roman" w:hAnsi="Times New Roman" w:cs="Times New Roman"/>
            <w:sz w:val="24"/>
            <w:szCs w:val="24"/>
          </w:rPr>
          <w:t>Legislation</w:t>
        </w:r>
      </w:hyperlink>
      <w:r w:rsidR="00712E11">
        <w:rPr>
          <w:rFonts w:ascii="Times New Roman" w:hAnsi="Times New Roman" w:cs="Times New Roman"/>
          <w:sz w:val="24"/>
          <w:szCs w:val="24"/>
        </w:rPr>
        <w:t xml:space="preserve"> to End the </w:t>
      </w:r>
      <w:r w:rsidR="00712E11" w:rsidRPr="0025407E">
        <w:rPr>
          <w:rFonts w:ascii="Times New Roman" w:hAnsi="Times New Roman" w:cs="Times New Roman"/>
          <w:sz w:val="24"/>
          <w:szCs w:val="24"/>
        </w:rPr>
        <w:t xml:space="preserve">Residential Retail </w:t>
      </w:r>
      <w:r w:rsidR="00881761" w:rsidRPr="0025407E">
        <w:rPr>
          <w:rFonts w:ascii="Times New Roman" w:hAnsi="Times New Roman" w:cs="Times New Roman"/>
          <w:sz w:val="24"/>
          <w:szCs w:val="24"/>
        </w:rPr>
        <w:t xml:space="preserve">Choice </w:t>
      </w:r>
    </w:p>
    <w:p w14:paraId="2CA9B045" w14:textId="670F1045" w:rsidR="0072230A" w:rsidRPr="00CB054B" w:rsidRDefault="00881761" w:rsidP="00CB054B">
      <w:pPr>
        <w:pStyle w:val="ListParagraph"/>
        <w:ind w:left="1440"/>
        <w:rPr>
          <w:rFonts w:ascii="Times New Roman" w:hAnsi="Times New Roman" w:cs="Times New Roman"/>
          <w:sz w:val="24"/>
          <w:szCs w:val="24"/>
        </w:rPr>
      </w:pPr>
      <w:r w:rsidRPr="0025407E">
        <w:rPr>
          <w:rFonts w:ascii="Times New Roman" w:hAnsi="Times New Roman" w:cs="Times New Roman"/>
          <w:sz w:val="24"/>
          <w:szCs w:val="24"/>
        </w:rPr>
        <w:t>Market</w:t>
      </w:r>
      <w:r w:rsidR="00007DD9" w:rsidRPr="0025407E">
        <w:rPr>
          <w:rFonts w:ascii="Times New Roman" w:hAnsi="Times New Roman" w:cs="Times New Roman"/>
          <w:sz w:val="24"/>
          <w:szCs w:val="24"/>
        </w:rPr>
        <w:t xml:space="preserve">, Jan. 22, 2019; MA Attorney General’s </w:t>
      </w:r>
      <w:hyperlink r:id="rId32" w:history="1">
        <w:r w:rsidR="00007DD9" w:rsidRPr="0025407E">
          <w:rPr>
            <w:rStyle w:val="Hyperlink"/>
            <w:rFonts w:ascii="Times New Roman" w:hAnsi="Times New Roman" w:cs="Times New Roman"/>
            <w:sz w:val="24"/>
            <w:szCs w:val="24"/>
          </w:rPr>
          <w:t>Press Release</w:t>
        </w:r>
      </w:hyperlink>
      <w:r w:rsidR="00007DD9" w:rsidRPr="0025407E">
        <w:rPr>
          <w:rFonts w:ascii="Times New Roman" w:hAnsi="Times New Roman" w:cs="Times New Roman"/>
          <w:sz w:val="24"/>
          <w:szCs w:val="24"/>
        </w:rPr>
        <w:t xml:space="preserve"> to End the Residential Retail Choice Market, Mar. 29, 2018</w:t>
      </w:r>
    </w:p>
    <w:p w14:paraId="65122886" w14:textId="77777777" w:rsidR="00007DD9" w:rsidRDefault="00E10412" w:rsidP="00CB054B">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007DD9">
        <w:rPr>
          <w:rFonts w:ascii="Times New Roman" w:hAnsi="Times New Roman" w:cs="Times New Roman"/>
          <w:sz w:val="24"/>
          <w:szCs w:val="24"/>
        </w:rPr>
        <w:t xml:space="preserve">The IL Attorney General’s </w:t>
      </w:r>
      <w:hyperlink r:id="rId33" w:history="1">
        <w:r w:rsidR="00007DD9" w:rsidRPr="00007DD9">
          <w:rPr>
            <w:rStyle w:val="Hyperlink"/>
            <w:rFonts w:ascii="Times New Roman" w:hAnsi="Times New Roman" w:cs="Times New Roman"/>
            <w:sz w:val="24"/>
            <w:szCs w:val="24"/>
          </w:rPr>
          <w:t>Press Release</w:t>
        </w:r>
      </w:hyperlink>
      <w:r w:rsidR="00007DD9">
        <w:rPr>
          <w:rFonts w:ascii="Times New Roman" w:hAnsi="Times New Roman" w:cs="Times New Roman"/>
          <w:sz w:val="24"/>
          <w:szCs w:val="24"/>
        </w:rPr>
        <w:t xml:space="preserve"> Calling for the End of the Residential Retail Choice </w:t>
      </w:r>
    </w:p>
    <w:p w14:paraId="5315E39B" w14:textId="77777777" w:rsidR="00041991" w:rsidRDefault="00007DD9" w:rsidP="00041991">
      <w:pPr>
        <w:pStyle w:val="ListParagraph"/>
        <w:spacing w:line="240" w:lineRule="auto"/>
        <w:ind w:firstLine="720"/>
        <w:rPr>
          <w:rFonts w:ascii="Times New Roman" w:hAnsi="Times New Roman" w:cs="Times New Roman"/>
          <w:sz w:val="24"/>
          <w:szCs w:val="24"/>
        </w:rPr>
      </w:pPr>
      <w:r>
        <w:rPr>
          <w:rFonts w:ascii="Times New Roman" w:hAnsi="Times New Roman" w:cs="Times New Roman"/>
          <w:sz w:val="24"/>
          <w:szCs w:val="24"/>
        </w:rPr>
        <w:t>Market, Oct. 15, 2018</w:t>
      </w:r>
      <w:r w:rsidR="000D2E71">
        <w:rPr>
          <w:rFonts w:ascii="Times New Roman" w:hAnsi="Times New Roman" w:cs="Times New Roman"/>
          <w:sz w:val="24"/>
          <w:szCs w:val="24"/>
        </w:rPr>
        <w:t xml:space="preserve"> </w:t>
      </w:r>
    </w:p>
    <w:p w14:paraId="7F5BEDB2" w14:textId="77777777" w:rsidR="00041991" w:rsidRDefault="000D2E71" w:rsidP="00041991">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72230A">
        <w:rPr>
          <w:rFonts w:ascii="Times New Roman" w:hAnsi="Times New Roman" w:cs="Times New Roman"/>
          <w:sz w:val="24"/>
          <w:szCs w:val="24"/>
        </w:rPr>
        <w:t>T</w:t>
      </w:r>
      <w:r>
        <w:rPr>
          <w:rFonts w:ascii="Times New Roman" w:hAnsi="Times New Roman" w:cs="Times New Roman"/>
          <w:sz w:val="24"/>
          <w:szCs w:val="24"/>
        </w:rPr>
        <w:t xml:space="preserve">he Maine Office of the Public Advocate Has Submitted </w:t>
      </w:r>
      <w:hyperlink r:id="rId34" w:history="1">
        <w:r w:rsidRPr="000D2E71">
          <w:rPr>
            <w:rStyle w:val="Hyperlink"/>
            <w:rFonts w:ascii="Times New Roman" w:hAnsi="Times New Roman" w:cs="Times New Roman"/>
            <w:sz w:val="24"/>
            <w:szCs w:val="24"/>
          </w:rPr>
          <w:t>Legislation</w:t>
        </w:r>
      </w:hyperlink>
      <w:r w:rsidR="00041991">
        <w:rPr>
          <w:rFonts w:ascii="Times New Roman" w:hAnsi="Times New Roman" w:cs="Times New Roman"/>
          <w:sz w:val="24"/>
          <w:szCs w:val="24"/>
        </w:rPr>
        <w:t xml:space="preserve"> that Would End the  </w:t>
      </w:r>
    </w:p>
    <w:p w14:paraId="79E06386" w14:textId="1F402E43" w:rsidR="006D639E" w:rsidRDefault="00041991" w:rsidP="00041991">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D2E71">
        <w:rPr>
          <w:rFonts w:ascii="Times New Roman" w:hAnsi="Times New Roman" w:cs="Times New Roman"/>
          <w:sz w:val="24"/>
          <w:szCs w:val="24"/>
        </w:rPr>
        <w:t>Residential Retail Choice Market, Dec. 24, 2019.</w:t>
      </w:r>
      <w:r>
        <w:rPr>
          <w:rFonts w:ascii="Times New Roman" w:hAnsi="Times New Roman" w:cs="Times New Roman"/>
          <w:sz w:val="24"/>
          <w:szCs w:val="24"/>
        </w:rPr>
        <w:t xml:space="preserve"> </w:t>
      </w:r>
    </w:p>
    <w:p w14:paraId="0057A4D8" w14:textId="77777777" w:rsidR="00041991" w:rsidRPr="00CB054B" w:rsidRDefault="00041991" w:rsidP="00041991">
      <w:pPr>
        <w:pStyle w:val="ListParagraph"/>
        <w:spacing w:line="240" w:lineRule="auto"/>
        <w:rPr>
          <w:rFonts w:ascii="Times New Roman" w:hAnsi="Times New Roman" w:cs="Times New Roman"/>
          <w:sz w:val="24"/>
          <w:szCs w:val="24"/>
        </w:rPr>
      </w:pPr>
    </w:p>
    <w:p w14:paraId="3056FACD" w14:textId="77777777" w:rsidR="00E10412" w:rsidRPr="00A86C78" w:rsidRDefault="00007DD9" w:rsidP="00206EEC">
      <w:pPr>
        <w:pStyle w:val="ListParagraph"/>
        <w:numPr>
          <w:ilvl w:val="0"/>
          <w:numId w:val="4"/>
        </w:numPr>
        <w:rPr>
          <w:rFonts w:ascii="Times New Roman" w:hAnsi="Times New Roman" w:cs="Times New Roman"/>
          <w:b/>
          <w:sz w:val="24"/>
          <w:szCs w:val="24"/>
          <w:u w:val="single"/>
        </w:rPr>
      </w:pPr>
      <w:r>
        <w:rPr>
          <w:rFonts w:ascii="Times New Roman" w:hAnsi="Times New Roman" w:cs="Times New Roman"/>
          <w:b/>
          <w:sz w:val="24"/>
          <w:szCs w:val="24"/>
          <w:u w:val="single"/>
        </w:rPr>
        <w:t>CT’s Most Vulnerable Populations are Harmed and Targeted</w:t>
      </w:r>
      <w:r w:rsidR="0025407E">
        <w:rPr>
          <w:rFonts w:ascii="Times New Roman" w:hAnsi="Times New Roman" w:cs="Times New Roman"/>
          <w:b/>
          <w:sz w:val="24"/>
          <w:szCs w:val="24"/>
          <w:u w:val="single"/>
        </w:rPr>
        <w:t xml:space="preserve"> in CT’s Retail Choice Market</w:t>
      </w:r>
    </w:p>
    <w:p w14:paraId="13E04C56" w14:textId="77777777" w:rsidR="00007DD9" w:rsidRDefault="00A86C78" w:rsidP="00206EE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      </w:t>
      </w:r>
      <w:r w:rsidR="00007DD9">
        <w:rPr>
          <w:rFonts w:ascii="Times New Roman" w:hAnsi="Times New Roman" w:cs="Times New Roman"/>
          <w:sz w:val="24"/>
          <w:szCs w:val="24"/>
        </w:rPr>
        <w:t xml:space="preserve">Vulnerable Populations include, </w:t>
      </w:r>
      <w:r w:rsidR="00A24082">
        <w:rPr>
          <w:rFonts w:ascii="Times New Roman" w:hAnsi="Times New Roman" w:cs="Times New Roman"/>
          <w:sz w:val="24"/>
          <w:szCs w:val="24"/>
        </w:rPr>
        <w:t xml:space="preserve">but are not </w:t>
      </w:r>
      <w:r w:rsidR="00007DD9">
        <w:rPr>
          <w:rFonts w:ascii="Times New Roman" w:hAnsi="Times New Roman" w:cs="Times New Roman"/>
          <w:sz w:val="24"/>
          <w:szCs w:val="24"/>
        </w:rPr>
        <w:t xml:space="preserve">limited to, </w:t>
      </w:r>
      <w:r>
        <w:rPr>
          <w:rFonts w:ascii="Times New Roman" w:hAnsi="Times New Roman" w:cs="Times New Roman"/>
          <w:sz w:val="24"/>
          <w:szCs w:val="24"/>
        </w:rPr>
        <w:t>Senior Citizens</w:t>
      </w:r>
      <w:r w:rsidR="00007DD9">
        <w:rPr>
          <w:rFonts w:ascii="Times New Roman" w:hAnsi="Times New Roman" w:cs="Times New Roman"/>
          <w:sz w:val="24"/>
          <w:szCs w:val="24"/>
        </w:rPr>
        <w:t xml:space="preserve">, </w:t>
      </w:r>
      <w:r w:rsidRPr="00007DD9">
        <w:rPr>
          <w:rFonts w:ascii="Times New Roman" w:hAnsi="Times New Roman" w:cs="Times New Roman"/>
          <w:sz w:val="24"/>
          <w:szCs w:val="24"/>
        </w:rPr>
        <w:t>Low-Income</w:t>
      </w:r>
      <w:r w:rsidR="00007DD9">
        <w:rPr>
          <w:rFonts w:ascii="Times New Roman" w:hAnsi="Times New Roman" w:cs="Times New Roman"/>
          <w:sz w:val="24"/>
          <w:szCs w:val="24"/>
        </w:rPr>
        <w:t xml:space="preserve"> Residents,</w:t>
      </w:r>
      <w:r w:rsidR="00007DD9" w:rsidRPr="00007DD9">
        <w:rPr>
          <w:rFonts w:ascii="Times New Roman" w:hAnsi="Times New Roman" w:cs="Times New Roman"/>
          <w:sz w:val="24"/>
          <w:szCs w:val="24"/>
        </w:rPr>
        <w:t xml:space="preserve"> </w:t>
      </w:r>
    </w:p>
    <w:p w14:paraId="1EDD4C1F" w14:textId="77777777" w:rsidR="00007DD9" w:rsidRDefault="00007DD9" w:rsidP="00206EEC">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English </w:t>
      </w:r>
      <w:r w:rsidR="00BC0D37">
        <w:rPr>
          <w:rFonts w:ascii="Times New Roman" w:hAnsi="Times New Roman" w:cs="Times New Roman"/>
          <w:sz w:val="24"/>
          <w:szCs w:val="24"/>
        </w:rPr>
        <w:t xml:space="preserve">as a </w:t>
      </w:r>
      <w:r>
        <w:rPr>
          <w:rFonts w:ascii="Times New Roman" w:hAnsi="Times New Roman" w:cs="Times New Roman"/>
          <w:sz w:val="24"/>
          <w:szCs w:val="24"/>
        </w:rPr>
        <w:t xml:space="preserve">Second Language Residents, and Disabled Residents </w:t>
      </w:r>
    </w:p>
    <w:p w14:paraId="2ABE02AD" w14:textId="77777777" w:rsidR="00AB1BA3" w:rsidRDefault="00AB1BA3" w:rsidP="00206EEC">
      <w:pPr>
        <w:pStyle w:val="ListParagraph"/>
        <w:ind w:left="108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cs="Times New Roman"/>
          <w:sz w:val="24"/>
          <w:szCs w:val="24"/>
        </w:rPr>
        <w:tab/>
        <w:t>High frequency of consumer complaints come from vulnerable populations</w:t>
      </w:r>
    </w:p>
    <w:p w14:paraId="56797047" w14:textId="77777777" w:rsidR="00AB1BA3" w:rsidRDefault="00AB1BA3" w:rsidP="00206EEC">
      <w:pPr>
        <w:pStyle w:val="ListParagraph"/>
        <w:ind w:left="108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 xml:space="preserve">Vulnerable populations are more frequently marketed to </w:t>
      </w:r>
      <w:r w:rsidR="00BC0D37">
        <w:rPr>
          <w:rFonts w:ascii="Times New Roman" w:hAnsi="Times New Roman" w:cs="Times New Roman"/>
          <w:sz w:val="24"/>
          <w:szCs w:val="24"/>
        </w:rPr>
        <w:t>by electric suppliers</w:t>
      </w:r>
    </w:p>
    <w:p w14:paraId="0BD52DEF" w14:textId="39D26E2E" w:rsidR="00007DD9" w:rsidRDefault="00007DD9" w:rsidP="00206EE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      PURA Docket No. </w:t>
      </w:r>
      <w:hyperlink r:id="rId35" w:history="1">
        <w:r w:rsidRPr="00AB1BA3">
          <w:rPr>
            <w:rStyle w:val="Hyperlink"/>
            <w:rFonts w:ascii="Times New Roman" w:hAnsi="Times New Roman" w:cs="Times New Roman"/>
            <w:sz w:val="24"/>
            <w:szCs w:val="24"/>
          </w:rPr>
          <w:t>18-06-02</w:t>
        </w:r>
      </w:hyperlink>
      <w:r w:rsidR="00AB1BA3">
        <w:rPr>
          <w:rFonts w:ascii="Times New Roman" w:hAnsi="Times New Roman" w:cs="Times New Roman"/>
          <w:sz w:val="24"/>
          <w:szCs w:val="24"/>
        </w:rPr>
        <w:t>: investigat</w:t>
      </w:r>
      <w:r w:rsidR="000D2E71">
        <w:rPr>
          <w:rFonts w:ascii="Times New Roman" w:hAnsi="Times New Roman" w:cs="Times New Roman"/>
          <w:sz w:val="24"/>
          <w:szCs w:val="24"/>
        </w:rPr>
        <w:t>ed</w:t>
      </w:r>
      <w:r w:rsidR="00AB1BA3">
        <w:rPr>
          <w:rFonts w:ascii="Times New Roman" w:hAnsi="Times New Roman" w:cs="Times New Roman"/>
          <w:sz w:val="24"/>
          <w:szCs w:val="24"/>
        </w:rPr>
        <w:t xml:space="preserve"> </w:t>
      </w:r>
      <w:r>
        <w:rPr>
          <w:rFonts w:ascii="Times New Roman" w:hAnsi="Times New Roman" w:cs="Times New Roman"/>
          <w:sz w:val="24"/>
          <w:szCs w:val="24"/>
        </w:rPr>
        <w:t xml:space="preserve">whether “hardship” customers should be placed on        </w:t>
      </w:r>
    </w:p>
    <w:p w14:paraId="7DB9376E" w14:textId="77777777" w:rsidR="00CB054B" w:rsidRDefault="00007DD9" w:rsidP="00206EEC">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electric</w:t>
      </w:r>
      <w:proofErr w:type="gramEnd"/>
      <w:r>
        <w:rPr>
          <w:rFonts w:ascii="Times New Roman" w:hAnsi="Times New Roman" w:cs="Times New Roman"/>
          <w:sz w:val="24"/>
          <w:szCs w:val="24"/>
        </w:rPr>
        <w:t xml:space="preserve"> utility standard service</w:t>
      </w:r>
      <w:r w:rsidR="000D2E71">
        <w:rPr>
          <w:rFonts w:ascii="Times New Roman" w:hAnsi="Times New Roman" w:cs="Times New Roman"/>
          <w:sz w:val="24"/>
          <w:szCs w:val="24"/>
        </w:rPr>
        <w:t xml:space="preserve"> and placed all such customers onto standard service for the next </w:t>
      </w:r>
    </w:p>
    <w:p w14:paraId="5845E739" w14:textId="77777777" w:rsidR="00CB054B" w:rsidRDefault="00CB054B" w:rsidP="00206EEC">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D2E71">
        <w:rPr>
          <w:rFonts w:ascii="Times New Roman" w:hAnsi="Times New Roman" w:cs="Times New Roman"/>
          <w:sz w:val="24"/>
          <w:szCs w:val="24"/>
        </w:rPr>
        <w:t>two</w:t>
      </w:r>
      <w:proofErr w:type="gramEnd"/>
      <w:r w:rsidR="000D2E71">
        <w:rPr>
          <w:rFonts w:ascii="Times New Roman" w:hAnsi="Times New Roman" w:cs="Times New Roman"/>
          <w:sz w:val="24"/>
          <w:szCs w:val="24"/>
        </w:rPr>
        <w:t xml:space="preserve"> years in response to OCC testimony and analysis demonstrating $7.2M in overpayment by</w:t>
      </w:r>
    </w:p>
    <w:p w14:paraId="589EB934" w14:textId="77777777" w:rsidR="00CB054B" w:rsidRDefault="00CB054B" w:rsidP="00206EEC">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r w:rsidR="000D2E71">
        <w:rPr>
          <w:rFonts w:ascii="Times New Roman" w:hAnsi="Times New Roman" w:cs="Times New Roman"/>
          <w:sz w:val="24"/>
          <w:szCs w:val="24"/>
        </w:rPr>
        <w:t xml:space="preserve"> </w:t>
      </w:r>
      <w:proofErr w:type="gramStart"/>
      <w:r w:rsidR="000D2E71">
        <w:rPr>
          <w:rFonts w:ascii="Times New Roman" w:hAnsi="Times New Roman" w:cs="Times New Roman"/>
          <w:sz w:val="24"/>
          <w:szCs w:val="24"/>
        </w:rPr>
        <w:t>hardship</w:t>
      </w:r>
      <w:proofErr w:type="gramEnd"/>
      <w:r w:rsidR="000D2E71">
        <w:rPr>
          <w:rFonts w:ascii="Times New Roman" w:hAnsi="Times New Roman" w:cs="Times New Roman"/>
          <w:sz w:val="24"/>
          <w:szCs w:val="24"/>
        </w:rPr>
        <w:t xml:space="preserve"> customers between 2016-2018. </w:t>
      </w:r>
      <w:r>
        <w:rPr>
          <w:rFonts w:ascii="Times New Roman" w:hAnsi="Times New Roman" w:cs="Times New Roman"/>
          <w:sz w:val="24"/>
          <w:szCs w:val="24"/>
        </w:rPr>
        <w:t>Hardship customers also paid, on average, higher rates</w:t>
      </w:r>
    </w:p>
    <w:p w14:paraId="0C4FF102" w14:textId="42AF486B" w:rsidR="00007DD9" w:rsidRDefault="00CB054B" w:rsidP="00206EEC">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than</w:t>
      </w:r>
      <w:proofErr w:type="gramEnd"/>
      <w:r>
        <w:rPr>
          <w:rFonts w:ascii="Times New Roman" w:hAnsi="Times New Roman" w:cs="Times New Roman"/>
          <w:sz w:val="24"/>
          <w:szCs w:val="24"/>
        </w:rPr>
        <w:t xml:space="preserve"> non-hardship customers.</w:t>
      </w:r>
    </w:p>
    <w:p w14:paraId="73A7ACBB" w14:textId="029A88E2" w:rsidR="0072230A" w:rsidRDefault="0072230A" w:rsidP="00206EEC">
      <w:pPr>
        <w:pStyle w:val="ListParagraph"/>
        <w:ind w:left="1080"/>
        <w:rPr>
          <w:rFonts w:ascii="Times New Roman" w:hAnsi="Times New Roman" w:cs="Times New Roman"/>
          <w:sz w:val="24"/>
          <w:szCs w:val="24"/>
        </w:rPr>
      </w:pPr>
    </w:p>
    <w:p w14:paraId="471305DB" w14:textId="77777777" w:rsidR="0051312A" w:rsidRPr="00CB054B" w:rsidRDefault="0051312A" w:rsidP="00CB054B">
      <w:pPr>
        <w:pStyle w:val="ListParagraph"/>
        <w:numPr>
          <w:ilvl w:val="0"/>
          <w:numId w:val="16"/>
        </w:numPr>
        <w:rPr>
          <w:rFonts w:ascii="Times New Roman" w:hAnsi="Times New Roman" w:cs="Times New Roman"/>
          <w:b/>
          <w:sz w:val="24"/>
          <w:szCs w:val="24"/>
          <w:u w:val="single"/>
        </w:rPr>
      </w:pPr>
      <w:r w:rsidRPr="00CB054B">
        <w:rPr>
          <w:rFonts w:ascii="Times New Roman" w:hAnsi="Times New Roman" w:cs="Times New Roman"/>
          <w:b/>
          <w:sz w:val="24"/>
          <w:szCs w:val="24"/>
          <w:u w:val="single"/>
        </w:rPr>
        <w:t xml:space="preserve">Despite 2015 Ban, </w:t>
      </w:r>
      <w:r w:rsidR="0072230A" w:rsidRPr="00CB054B">
        <w:rPr>
          <w:rFonts w:ascii="Times New Roman" w:hAnsi="Times New Roman" w:cs="Times New Roman"/>
          <w:b/>
          <w:sz w:val="24"/>
          <w:szCs w:val="24"/>
          <w:u w:val="single"/>
        </w:rPr>
        <w:t xml:space="preserve">Thousands of CT Residential Ratepayers Remain on </w:t>
      </w:r>
      <w:r w:rsidRPr="00CB054B">
        <w:rPr>
          <w:rFonts w:ascii="Times New Roman" w:hAnsi="Times New Roman" w:cs="Times New Roman"/>
          <w:b/>
          <w:sz w:val="24"/>
          <w:szCs w:val="24"/>
          <w:u w:val="single"/>
        </w:rPr>
        <w:t xml:space="preserve">Variable Contracts </w:t>
      </w:r>
    </w:p>
    <w:p w14:paraId="7D81FED2" w14:textId="68216F20" w:rsidR="0072230A" w:rsidRPr="00CB054B" w:rsidRDefault="0051312A">
      <w:pPr>
        <w:pStyle w:val="ListParagraph"/>
        <w:ind w:left="1080"/>
        <w:rPr>
          <w:rFonts w:ascii="Times New Roman" w:hAnsi="Times New Roman" w:cs="Times New Roman"/>
          <w:sz w:val="24"/>
          <w:szCs w:val="24"/>
        </w:rPr>
      </w:pPr>
      <w:r w:rsidRPr="00CB054B">
        <w:rPr>
          <w:rFonts w:ascii="Times New Roman" w:hAnsi="Times New Roman" w:cs="Times New Roman"/>
          <w:sz w:val="24"/>
          <w:szCs w:val="24"/>
        </w:rPr>
        <w:t xml:space="preserve">EDC filings in January 2020 </w:t>
      </w:r>
      <w:r>
        <w:rPr>
          <w:rFonts w:ascii="Times New Roman" w:hAnsi="Times New Roman" w:cs="Times New Roman"/>
          <w:sz w:val="24"/>
          <w:szCs w:val="24"/>
        </w:rPr>
        <w:t>show that approximately 25,000 Residential customers remain on legacy variable rate contracts that continue to auto-renew</w:t>
      </w:r>
      <w:r w:rsidR="00041991">
        <w:rPr>
          <w:rFonts w:ascii="Times New Roman" w:hAnsi="Times New Roman" w:cs="Times New Roman"/>
          <w:sz w:val="24"/>
          <w:szCs w:val="24"/>
        </w:rPr>
        <w:t>, with variables rates as high as 20 centers per kWh</w:t>
      </w:r>
      <w:r>
        <w:rPr>
          <w:rFonts w:ascii="Times New Roman" w:hAnsi="Times New Roman" w:cs="Times New Roman"/>
          <w:sz w:val="24"/>
          <w:szCs w:val="24"/>
        </w:rPr>
        <w:t>.</w:t>
      </w:r>
    </w:p>
    <w:p w14:paraId="10A7DF38" w14:textId="77777777" w:rsidR="0051312A" w:rsidRPr="00CB054B" w:rsidRDefault="0051312A" w:rsidP="00CB054B">
      <w:pPr>
        <w:ind w:left="720"/>
        <w:rPr>
          <w:rFonts w:ascii="Times New Roman" w:hAnsi="Times New Roman" w:cs="Times New Roman"/>
          <w:b/>
          <w:sz w:val="24"/>
          <w:szCs w:val="24"/>
          <w:u w:val="single"/>
        </w:rPr>
      </w:pPr>
    </w:p>
    <w:p w14:paraId="6AFCB830" w14:textId="77777777" w:rsidR="0051312A" w:rsidRPr="00CB054B" w:rsidRDefault="0051312A">
      <w:pPr>
        <w:pStyle w:val="ListParagraph"/>
        <w:ind w:left="1080"/>
        <w:rPr>
          <w:rFonts w:ascii="Times New Roman" w:hAnsi="Times New Roman" w:cs="Times New Roman"/>
          <w:b/>
          <w:sz w:val="24"/>
          <w:szCs w:val="24"/>
          <w:u w:val="single"/>
        </w:rPr>
      </w:pPr>
    </w:p>
    <w:p w14:paraId="255DF117" w14:textId="1FF6C9C3" w:rsidR="00327674" w:rsidRDefault="00327674" w:rsidP="00206EEC">
      <w:pPr>
        <w:pStyle w:val="ListParagraph"/>
        <w:ind w:left="1080"/>
        <w:rPr>
          <w:rFonts w:ascii="Times New Roman" w:hAnsi="Times New Roman" w:cs="Times New Roman"/>
          <w:sz w:val="24"/>
          <w:szCs w:val="24"/>
        </w:rPr>
      </w:pPr>
    </w:p>
    <w:p w14:paraId="59A6FF7A" w14:textId="77777777" w:rsidR="00327674" w:rsidRDefault="00327674" w:rsidP="00206EEC">
      <w:pPr>
        <w:pStyle w:val="ListParagraph"/>
        <w:ind w:left="1080"/>
        <w:rPr>
          <w:rFonts w:ascii="Times New Roman" w:hAnsi="Times New Roman" w:cs="Times New Roman"/>
          <w:sz w:val="24"/>
          <w:szCs w:val="24"/>
        </w:rPr>
      </w:pPr>
    </w:p>
    <w:p w14:paraId="71DDA2A1" w14:textId="77777777" w:rsidR="00A86C78" w:rsidRPr="00007DD9" w:rsidRDefault="00007DD9" w:rsidP="00206EEC">
      <w:pPr>
        <w:ind w:left="720"/>
        <w:rPr>
          <w:rFonts w:ascii="Times New Roman" w:hAnsi="Times New Roman" w:cs="Times New Roman"/>
          <w:sz w:val="24"/>
          <w:szCs w:val="24"/>
        </w:rPr>
      </w:pPr>
      <w:r w:rsidRPr="00007DD9">
        <w:rPr>
          <w:rFonts w:ascii="Times New Roman" w:hAnsi="Times New Roman" w:cs="Times New Roman"/>
          <w:sz w:val="24"/>
          <w:szCs w:val="24"/>
        </w:rPr>
        <w:t xml:space="preserve"> </w:t>
      </w:r>
    </w:p>
    <w:sectPr w:rsidR="00A86C78" w:rsidRPr="00007DD9" w:rsidSect="001D46AC">
      <w:footerReference w:type="default" r:id="rId36"/>
      <w:pgSz w:w="12240" w:h="15840" w:code="1"/>
      <w:pgMar w:top="288"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C46B7" w14:textId="77777777" w:rsidR="00214AD2" w:rsidRDefault="00214AD2" w:rsidP="000917CB">
      <w:pPr>
        <w:spacing w:after="0" w:line="240" w:lineRule="auto"/>
      </w:pPr>
      <w:r>
        <w:separator/>
      </w:r>
    </w:p>
  </w:endnote>
  <w:endnote w:type="continuationSeparator" w:id="0">
    <w:p w14:paraId="5B8E2547" w14:textId="77777777" w:rsidR="00214AD2" w:rsidRDefault="00214AD2" w:rsidP="00091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1BEFF" w14:textId="77777777" w:rsidR="009D452F" w:rsidRPr="001D46AC" w:rsidRDefault="009D452F" w:rsidP="001D46AC">
    <w:pPr>
      <w:pStyle w:val="Footer"/>
      <w:jc w:val="center"/>
      <w:rPr>
        <w:rFonts w:ascii="Times New Roman" w:hAnsi="Times New Roman" w:cs="Times New Roman"/>
        <w:sz w:val="24"/>
        <w:szCs w:val="20"/>
      </w:rPr>
    </w:pPr>
    <w:r w:rsidRPr="001D46AC">
      <w:rPr>
        <w:rFonts w:ascii="Times New Roman" w:hAnsi="Times New Roman" w:cs="Times New Roman"/>
        <w:sz w:val="24"/>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0F69F" w14:textId="77777777" w:rsidR="00214AD2" w:rsidRDefault="00214AD2" w:rsidP="000917CB">
      <w:pPr>
        <w:spacing w:after="0" w:line="240" w:lineRule="auto"/>
      </w:pPr>
      <w:r>
        <w:separator/>
      </w:r>
    </w:p>
  </w:footnote>
  <w:footnote w:type="continuationSeparator" w:id="0">
    <w:p w14:paraId="6FBBE27D" w14:textId="77777777" w:rsidR="00214AD2" w:rsidRDefault="00214AD2" w:rsidP="00091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77F0D"/>
    <w:multiLevelType w:val="hybridMultilevel"/>
    <w:tmpl w:val="A90E09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E159B5"/>
    <w:multiLevelType w:val="hybridMultilevel"/>
    <w:tmpl w:val="605295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F2E40"/>
    <w:multiLevelType w:val="hybridMultilevel"/>
    <w:tmpl w:val="19E23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A16F41"/>
    <w:multiLevelType w:val="hybridMultilevel"/>
    <w:tmpl w:val="9AC2923E"/>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7021132"/>
    <w:multiLevelType w:val="hybridMultilevel"/>
    <w:tmpl w:val="D6344B10"/>
    <w:lvl w:ilvl="0" w:tplc="04090015">
      <w:start w:val="1"/>
      <w:numFmt w:val="upp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7881ACE"/>
    <w:multiLevelType w:val="hybridMultilevel"/>
    <w:tmpl w:val="F06051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3B3D7E"/>
    <w:multiLevelType w:val="hybridMultilevel"/>
    <w:tmpl w:val="AC141FF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E1B9B"/>
    <w:multiLevelType w:val="multilevel"/>
    <w:tmpl w:val="E182CC4A"/>
    <w:lvl w:ilvl="0">
      <w:start w:val="1"/>
      <w:numFmt w:val="upperRoman"/>
      <w:pStyle w:val="Heading1"/>
      <w:lvlText w:val="%1."/>
      <w:lvlJc w:val="left"/>
      <w:pPr>
        <w:ind w:left="0" w:firstLine="0"/>
      </w:pPr>
      <w:rPr>
        <w:rFonts w:ascii="Times New Roman" w:hAnsi="Times New Roman" w:cs="Times New Roman" w:hint="default"/>
        <w:sz w:val="22"/>
        <w:szCs w:val="22"/>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15:restartNumberingAfterBreak="0">
    <w:nsid w:val="4DA4605D"/>
    <w:multiLevelType w:val="hybridMultilevel"/>
    <w:tmpl w:val="19E6DD4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52780784"/>
    <w:multiLevelType w:val="hybridMultilevel"/>
    <w:tmpl w:val="2438C0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4264C8D"/>
    <w:multiLevelType w:val="multilevel"/>
    <w:tmpl w:val="72B60C4C"/>
    <w:lvl w:ilvl="0">
      <w:start w:val="1"/>
      <w:numFmt w:val="upperRoman"/>
      <w:lvlText w:val="%1."/>
      <w:lvlJc w:val="left"/>
      <w:pPr>
        <w:ind w:left="0" w:firstLine="0"/>
      </w:pPr>
      <w:rPr>
        <w:b w:val="0"/>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659C5203"/>
    <w:multiLevelType w:val="hybridMultilevel"/>
    <w:tmpl w:val="8AC8C3E8"/>
    <w:lvl w:ilvl="0" w:tplc="3B848290">
      <w:start w:val="7"/>
      <w:numFmt w:val="upperRoman"/>
      <w:lvlText w:val="%1."/>
      <w:lvlJc w:val="righ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881942"/>
    <w:multiLevelType w:val="hybridMultilevel"/>
    <w:tmpl w:val="A90E09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2D5758"/>
    <w:multiLevelType w:val="hybridMultilevel"/>
    <w:tmpl w:val="AC141FF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0D264E"/>
    <w:multiLevelType w:val="hybridMultilevel"/>
    <w:tmpl w:val="5750068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F1816D0"/>
    <w:multiLevelType w:val="hybridMultilevel"/>
    <w:tmpl w:val="C80278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7"/>
  </w:num>
  <w:num w:numId="4">
    <w:abstractNumId w:val="10"/>
  </w:num>
  <w:num w:numId="5">
    <w:abstractNumId w:val="2"/>
  </w:num>
  <w:num w:numId="6">
    <w:abstractNumId w:val="3"/>
  </w:num>
  <w:num w:numId="7">
    <w:abstractNumId w:val="4"/>
  </w:num>
  <w:num w:numId="8">
    <w:abstractNumId w:val="12"/>
  </w:num>
  <w:num w:numId="9">
    <w:abstractNumId w:val="15"/>
  </w:num>
  <w:num w:numId="10">
    <w:abstractNumId w:val="5"/>
  </w:num>
  <w:num w:numId="11">
    <w:abstractNumId w:val="1"/>
  </w:num>
  <w:num w:numId="12">
    <w:abstractNumId w:val="13"/>
  </w:num>
  <w:num w:numId="13">
    <w:abstractNumId w:val="0"/>
  </w:num>
  <w:num w:numId="14">
    <w:abstractNumId w:val="6"/>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CB"/>
    <w:rsid w:val="000050E1"/>
    <w:rsid w:val="00007DD9"/>
    <w:rsid w:val="000119AA"/>
    <w:rsid w:val="00024C62"/>
    <w:rsid w:val="00027138"/>
    <w:rsid w:val="00041991"/>
    <w:rsid w:val="00045F2B"/>
    <w:rsid w:val="000546FE"/>
    <w:rsid w:val="000556A9"/>
    <w:rsid w:val="00084232"/>
    <w:rsid w:val="000917CB"/>
    <w:rsid w:val="00092769"/>
    <w:rsid w:val="00095050"/>
    <w:rsid w:val="000A4DC2"/>
    <w:rsid w:val="000A4E47"/>
    <w:rsid w:val="000B2FF2"/>
    <w:rsid w:val="000B7243"/>
    <w:rsid w:val="000C0846"/>
    <w:rsid w:val="000D2E71"/>
    <w:rsid w:val="000D6EEB"/>
    <w:rsid w:val="000D77EA"/>
    <w:rsid w:val="001057ED"/>
    <w:rsid w:val="00107055"/>
    <w:rsid w:val="00110758"/>
    <w:rsid w:val="00120DD1"/>
    <w:rsid w:val="001227F7"/>
    <w:rsid w:val="001361EB"/>
    <w:rsid w:val="00167EF4"/>
    <w:rsid w:val="00171E78"/>
    <w:rsid w:val="00174244"/>
    <w:rsid w:val="00177A78"/>
    <w:rsid w:val="001B15A3"/>
    <w:rsid w:val="001B630D"/>
    <w:rsid w:val="001C2CAF"/>
    <w:rsid w:val="001D46AC"/>
    <w:rsid w:val="00206EEC"/>
    <w:rsid w:val="00214AD2"/>
    <w:rsid w:val="00230AA2"/>
    <w:rsid w:val="00233D2A"/>
    <w:rsid w:val="002434F1"/>
    <w:rsid w:val="0024414D"/>
    <w:rsid w:val="002474AB"/>
    <w:rsid w:val="00251239"/>
    <w:rsid w:val="0025206A"/>
    <w:rsid w:val="0025407E"/>
    <w:rsid w:val="00263C34"/>
    <w:rsid w:val="002763F1"/>
    <w:rsid w:val="0028052B"/>
    <w:rsid w:val="0028660A"/>
    <w:rsid w:val="00286A53"/>
    <w:rsid w:val="002A4C99"/>
    <w:rsid w:val="002C347E"/>
    <w:rsid w:val="002C53FE"/>
    <w:rsid w:val="002D0F48"/>
    <w:rsid w:val="002D5922"/>
    <w:rsid w:val="002D78CA"/>
    <w:rsid w:val="002F79BA"/>
    <w:rsid w:val="002F7BF6"/>
    <w:rsid w:val="003051F8"/>
    <w:rsid w:val="003261C6"/>
    <w:rsid w:val="00327674"/>
    <w:rsid w:val="00340A11"/>
    <w:rsid w:val="0036576D"/>
    <w:rsid w:val="0037518B"/>
    <w:rsid w:val="00385CDA"/>
    <w:rsid w:val="00391E22"/>
    <w:rsid w:val="003B200F"/>
    <w:rsid w:val="0041113A"/>
    <w:rsid w:val="00432CAC"/>
    <w:rsid w:val="00441C68"/>
    <w:rsid w:val="00482FBC"/>
    <w:rsid w:val="004865BA"/>
    <w:rsid w:val="004929C2"/>
    <w:rsid w:val="00495CC6"/>
    <w:rsid w:val="00497050"/>
    <w:rsid w:val="004A402B"/>
    <w:rsid w:val="004C6EA5"/>
    <w:rsid w:val="004D30D3"/>
    <w:rsid w:val="004F3808"/>
    <w:rsid w:val="0051312A"/>
    <w:rsid w:val="00542EA2"/>
    <w:rsid w:val="00564CF7"/>
    <w:rsid w:val="00573C5F"/>
    <w:rsid w:val="005C3960"/>
    <w:rsid w:val="005D37D2"/>
    <w:rsid w:val="00617938"/>
    <w:rsid w:val="00631986"/>
    <w:rsid w:val="00662D7C"/>
    <w:rsid w:val="00667144"/>
    <w:rsid w:val="006874C3"/>
    <w:rsid w:val="006C04F3"/>
    <w:rsid w:val="006D639E"/>
    <w:rsid w:val="006E6A2A"/>
    <w:rsid w:val="006E7ED8"/>
    <w:rsid w:val="00712E11"/>
    <w:rsid w:val="007209C0"/>
    <w:rsid w:val="0072129D"/>
    <w:rsid w:val="0072230A"/>
    <w:rsid w:val="00740326"/>
    <w:rsid w:val="00757A77"/>
    <w:rsid w:val="00766A6E"/>
    <w:rsid w:val="00771741"/>
    <w:rsid w:val="007B0248"/>
    <w:rsid w:val="007B6F9F"/>
    <w:rsid w:val="007B7CEA"/>
    <w:rsid w:val="007C3A42"/>
    <w:rsid w:val="007E026E"/>
    <w:rsid w:val="007E03CB"/>
    <w:rsid w:val="007E560D"/>
    <w:rsid w:val="007F55FE"/>
    <w:rsid w:val="00831EA2"/>
    <w:rsid w:val="00834234"/>
    <w:rsid w:val="00856AD3"/>
    <w:rsid w:val="00863642"/>
    <w:rsid w:val="008764C2"/>
    <w:rsid w:val="00881761"/>
    <w:rsid w:val="008D37DA"/>
    <w:rsid w:val="008D6ED4"/>
    <w:rsid w:val="009016E5"/>
    <w:rsid w:val="009025F1"/>
    <w:rsid w:val="00904381"/>
    <w:rsid w:val="00940449"/>
    <w:rsid w:val="00977555"/>
    <w:rsid w:val="009C3707"/>
    <w:rsid w:val="009D0D3B"/>
    <w:rsid w:val="009D452F"/>
    <w:rsid w:val="009E7159"/>
    <w:rsid w:val="009F3CCD"/>
    <w:rsid w:val="00A0030E"/>
    <w:rsid w:val="00A010E2"/>
    <w:rsid w:val="00A0671B"/>
    <w:rsid w:val="00A141D2"/>
    <w:rsid w:val="00A24082"/>
    <w:rsid w:val="00A56F08"/>
    <w:rsid w:val="00A837C0"/>
    <w:rsid w:val="00A8675F"/>
    <w:rsid w:val="00A86C78"/>
    <w:rsid w:val="00A91A3E"/>
    <w:rsid w:val="00AA0AF4"/>
    <w:rsid w:val="00AA1BC0"/>
    <w:rsid w:val="00AB1BA3"/>
    <w:rsid w:val="00AC04C7"/>
    <w:rsid w:val="00AC434B"/>
    <w:rsid w:val="00AC758F"/>
    <w:rsid w:val="00AF49F7"/>
    <w:rsid w:val="00AF5067"/>
    <w:rsid w:val="00B01BA4"/>
    <w:rsid w:val="00B2528A"/>
    <w:rsid w:val="00B25783"/>
    <w:rsid w:val="00B50407"/>
    <w:rsid w:val="00B5431E"/>
    <w:rsid w:val="00B93EE0"/>
    <w:rsid w:val="00BA2E29"/>
    <w:rsid w:val="00BA4F42"/>
    <w:rsid w:val="00BA5851"/>
    <w:rsid w:val="00BB25EA"/>
    <w:rsid w:val="00BC0D37"/>
    <w:rsid w:val="00C22584"/>
    <w:rsid w:val="00C62013"/>
    <w:rsid w:val="00C87B2B"/>
    <w:rsid w:val="00C92298"/>
    <w:rsid w:val="00CA333B"/>
    <w:rsid w:val="00CB054B"/>
    <w:rsid w:val="00CB620E"/>
    <w:rsid w:val="00CC75B1"/>
    <w:rsid w:val="00CD7E78"/>
    <w:rsid w:val="00CE4D50"/>
    <w:rsid w:val="00CE624D"/>
    <w:rsid w:val="00D3366D"/>
    <w:rsid w:val="00D37E54"/>
    <w:rsid w:val="00D533B4"/>
    <w:rsid w:val="00D559EC"/>
    <w:rsid w:val="00D90073"/>
    <w:rsid w:val="00D974D2"/>
    <w:rsid w:val="00DD5A90"/>
    <w:rsid w:val="00E10412"/>
    <w:rsid w:val="00E4586D"/>
    <w:rsid w:val="00E9234E"/>
    <w:rsid w:val="00E94F7A"/>
    <w:rsid w:val="00EA1574"/>
    <w:rsid w:val="00EA315E"/>
    <w:rsid w:val="00EB593E"/>
    <w:rsid w:val="00F01FEA"/>
    <w:rsid w:val="00F02D1B"/>
    <w:rsid w:val="00F40E2E"/>
    <w:rsid w:val="00F53B3E"/>
    <w:rsid w:val="00F906D6"/>
    <w:rsid w:val="00F93B6C"/>
    <w:rsid w:val="00F957E3"/>
    <w:rsid w:val="00FF2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F1397A"/>
  <w15:docId w15:val="{DC747872-27D2-462C-93F0-29F7CA13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12E11"/>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12E11"/>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2E11"/>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12E11"/>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12E11"/>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12E11"/>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12E11"/>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12E11"/>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12E11"/>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7CB"/>
    <w:rPr>
      <w:rFonts w:ascii="Tahoma" w:hAnsi="Tahoma" w:cs="Tahoma"/>
      <w:sz w:val="16"/>
      <w:szCs w:val="16"/>
    </w:rPr>
  </w:style>
  <w:style w:type="paragraph" w:styleId="Header">
    <w:name w:val="header"/>
    <w:basedOn w:val="Normal"/>
    <w:link w:val="HeaderChar"/>
    <w:uiPriority w:val="99"/>
    <w:unhideWhenUsed/>
    <w:rsid w:val="00091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7CB"/>
  </w:style>
  <w:style w:type="paragraph" w:styleId="Footer">
    <w:name w:val="footer"/>
    <w:basedOn w:val="Normal"/>
    <w:link w:val="FooterChar"/>
    <w:uiPriority w:val="99"/>
    <w:unhideWhenUsed/>
    <w:rsid w:val="00091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7CB"/>
  </w:style>
  <w:style w:type="paragraph" w:customStyle="1" w:styleId="BasicParagraph">
    <w:name w:val="[Basic Paragraph]"/>
    <w:basedOn w:val="Normal"/>
    <w:uiPriority w:val="99"/>
    <w:rsid w:val="000546FE"/>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441C68"/>
    <w:pPr>
      <w:ind w:left="720"/>
      <w:contextualSpacing/>
    </w:pPr>
  </w:style>
  <w:style w:type="character" w:styleId="FootnoteReference">
    <w:name w:val="footnote reference"/>
    <w:aliases w:val="o,Style 12,(NECG) Footnote Reference,Style 11,Style 28,Style 8,Style 24,fr,Style 17,Style 13,Style 15,Style 9,o1,fr1,o2,fr2,o3,fr3,Style 18,Style 20,Style 7,Style 19,Style 16,Style 30,Sty,o2...,Style 21,Style 4,Style 6,FR,Style 3"/>
    <w:rsid w:val="007F55FE"/>
    <w:rPr>
      <w:rFonts w:ascii="Arial" w:hAnsi="Arial"/>
      <w:position w:val="6"/>
      <w:sz w:val="16"/>
    </w:rPr>
  </w:style>
  <w:style w:type="paragraph" w:styleId="FootnoteText">
    <w:name w:val="footnote text"/>
    <w:aliases w:val="Footnote Text Char1,Footnote Text Char Char1,Footnote Text Char Char,ft Char,Footnote Text Char2 Char,Footnote Text Char Char1 Char,Footnote Text Char1 Char Char Char,Footnote Text Char Char Char Char Char,ft Char Char Char Char,Style 25,f"/>
    <w:basedOn w:val="Normal"/>
    <w:link w:val="FootnoteTextChar"/>
    <w:rsid w:val="007F55FE"/>
    <w:pPr>
      <w:spacing w:after="0" w:line="240" w:lineRule="auto"/>
      <w:ind w:left="288" w:hanging="288"/>
      <w:jc w:val="both"/>
    </w:pPr>
    <w:rPr>
      <w:rFonts w:ascii="Arial" w:eastAsia="Times New Roman" w:hAnsi="Arial" w:cs="Times New Roman"/>
      <w:sz w:val="20"/>
      <w:szCs w:val="20"/>
    </w:rPr>
  </w:style>
  <w:style w:type="character" w:customStyle="1" w:styleId="FootnoteTextChar">
    <w:name w:val="Footnote Text Char"/>
    <w:aliases w:val="Footnote Text Char1 Char,Footnote Text Char Char1 Char1,Footnote Text Char Char Char,ft Char Char,Footnote Text Char2 Char Char,Footnote Text Char Char1 Char Char,Footnote Text Char1 Char Char Char Char,ft Char Char Char Char Char"/>
    <w:basedOn w:val="DefaultParagraphFont"/>
    <w:link w:val="FootnoteText"/>
    <w:rsid w:val="007F55FE"/>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712E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12E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12E1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12E1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12E1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12E1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12E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12E1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2E1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E10412"/>
    <w:rPr>
      <w:color w:val="0000FF" w:themeColor="hyperlink"/>
      <w:u w:val="single"/>
    </w:rPr>
  </w:style>
  <w:style w:type="character" w:styleId="FollowedHyperlink">
    <w:name w:val="FollowedHyperlink"/>
    <w:basedOn w:val="DefaultParagraphFont"/>
    <w:uiPriority w:val="99"/>
    <w:semiHidden/>
    <w:unhideWhenUsed/>
    <w:rsid w:val="00F53B3E"/>
    <w:rPr>
      <w:color w:val="800080" w:themeColor="followedHyperlink"/>
      <w:u w:val="single"/>
    </w:rPr>
  </w:style>
  <w:style w:type="character" w:styleId="CommentReference">
    <w:name w:val="annotation reference"/>
    <w:basedOn w:val="DefaultParagraphFont"/>
    <w:uiPriority w:val="99"/>
    <w:semiHidden/>
    <w:unhideWhenUsed/>
    <w:rsid w:val="00A0671B"/>
    <w:rPr>
      <w:sz w:val="16"/>
      <w:szCs w:val="16"/>
    </w:rPr>
  </w:style>
  <w:style w:type="paragraph" w:styleId="CommentText">
    <w:name w:val="annotation text"/>
    <w:basedOn w:val="Normal"/>
    <w:link w:val="CommentTextChar"/>
    <w:uiPriority w:val="99"/>
    <w:semiHidden/>
    <w:unhideWhenUsed/>
    <w:rsid w:val="00A0671B"/>
    <w:pPr>
      <w:spacing w:line="240" w:lineRule="auto"/>
    </w:pPr>
    <w:rPr>
      <w:sz w:val="20"/>
      <w:szCs w:val="20"/>
    </w:rPr>
  </w:style>
  <w:style w:type="character" w:customStyle="1" w:styleId="CommentTextChar">
    <w:name w:val="Comment Text Char"/>
    <w:basedOn w:val="DefaultParagraphFont"/>
    <w:link w:val="CommentText"/>
    <w:uiPriority w:val="99"/>
    <w:semiHidden/>
    <w:rsid w:val="00A0671B"/>
    <w:rPr>
      <w:sz w:val="20"/>
      <w:szCs w:val="20"/>
    </w:rPr>
  </w:style>
  <w:style w:type="paragraph" w:styleId="CommentSubject">
    <w:name w:val="annotation subject"/>
    <w:basedOn w:val="CommentText"/>
    <w:next w:val="CommentText"/>
    <w:link w:val="CommentSubjectChar"/>
    <w:uiPriority w:val="99"/>
    <w:semiHidden/>
    <w:unhideWhenUsed/>
    <w:rsid w:val="00A0671B"/>
    <w:rPr>
      <w:b/>
      <w:bCs/>
    </w:rPr>
  </w:style>
  <w:style w:type="character" w:customStyle="1" w:styleId="CommentSubjectChar">
    <w:name w:val="Comment Subject Char"/>
    <w:basedOn w:val="CommentTextChar"/>
    <w:link w:val="CommentSubject"/>
    <w:uiPriority w:val="99"/>
    <w:semiHidden/>
    <w:rsid w:val="00A067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906688">
      <w:bodyDiv w:val="1"/>
      <w:marLeft w:val="0"/>
      <w:marRight w:val="0"/>
      <w:marTop w:val="0"/>
      <w:marBottom w:val="0"/>
      <w:divBdr>
        <w:top w:val="none" w:sz="0" w:space="0" w:color="auto"/>
        <w:left w:val="none" w:sz="0" w:space="0" w:color="auto"/>
        <w:bottom w:val="none" w:sz="0" w:space="0" w:color="auto"/>
        <w:right w:val="none" w:sz="0" w:space="0" w:color="auto"/>
      </w:divBdr>
    </w:div>
    <w:div w:id="1656951094">
      <w:bodyDiv w:val="1"/>
      <w:marLeft w:val="0"/>
      <w:marRight w:val="0"/>
      <w:marTop w:val="0"/>
      <w:marBottom w:val="0"/>
      <w:divBdr>
        <w:top w:val="none" w:sz="0" w:space="0" w:color="auto"/>
        <w:left w:val="none" w:sz="0" w:space="0" w:color="auto"/>
        <w:bottom w:val="none" w:sz="0" w:space="0" w:color="auto"/>
        <w:right w:val="none" w:sz="0" w:space="0" w:color="auto"/>
      </w:divBdr>
    </w:div>
    <w:div w:id="166966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pc.state.md.us/Portals/0/Hot%20Topics/Maryland%20Electric%20and%20Gas%20Residential%20Supply%20Report%20November%202018.pdf" TargetMode="External"/><Relationship Id="rId18" Type="http://schemas.openxmlformats.org/officeDocument/2006/relationships/hyperlink" Target="http://www.dpuc.state.ct.us/dockhistpost2000.nsf/8e6fc37a54110e3e852576190052b64d/3b0bc25155e60e7a8525829c0074e403?OpenDocument" TargetMode="External"/><Relationship Id="rId26" Type="http://schemas.openxmlformats.org/officeDocument/2006/relationships/hyperlink" Target="http://www.dpuc.state.ct.us/dockcurr.nsf/8e6fc37a54110e3e852576190052b64d/327172692f33d346852583ed00526724/$FILE/130717-050119.pdf" TargetMode="External"/><Relationship Id="rId3" Type="http://schemas.openxmlformats.org/officeDocument/2006/relationships/styles" Target="styles.xml"/><Relationship Id="rId21" Type="http://schemas.openxmlformats.org/officeDocument/2006/relationships/hyperlink" Target="http://www.dpuc.state.ct.us/dockhistpost2000.nsf/8e6fc37a54110e3e852576190052b64d/ac0e4b32c7b9ab9f8525829d003bbfd0?OpenDocument" TargetMode="External"/><Relationship Id="rId34" Type="http://schemas.openxmlformats.org/officeDocument/2006/relationships/hyperlink" Target="https://legislature.maine.gov/bills/getPDF.asp?paper=SP0664&amp;item=1&amp;snum=129" TargetMode="External"/><Relationship Id="rId7" Type="http://schemas.openxmlformats.org/officeDocument/2006/relationships/endnotes" Target="endnotes.xml"/><Relationship Id="rId12" Type="http://schemas.openxmlformats.org/officeDocument/2006/relationships/hyperlink" Target="http://www.nclc.org/images/pdf/pr-reports/competitive-energy-supply-report.pdf" TargetMode="External"/><Relationship Id="rId17" Type="http://schemas.openxmlformats.org/officeDocument/2006/relationships/hyperlink" Target="https://www.mass.gov/files/documents/2018/03/29/Comp%20Supply%20Report%20Final%20032918.pdf" TargetMode="External"/><Relationship Id="rId25" Type="http://schemas.openxmlformats.org/officeDocument/2006/relationships/hyperlink" Target="http://www.dpuc.state.ct.us/dockcurr.nsf/8e6fc37a54110e3e852576190052b64d/044932461f3b4d0f852584be00677c9f/$FILE/20191126135441.pdf" TargetMode="External"/><Relationship Id="rId33" Type="http://schemas.openxmlformats.org/officeDocument/2006/relationships/hyperlink" Target="http://www.illinoisattorneygeneral.gov/pressroom/2018_10/20181015.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ga.ct.gov/2014/act/pa/pdf/2014PA-00075-R00SB-00002-PA.pdf" TargetMode="External"/><Relationship Id="rId20" Type="http://schemas.openxmlformats.org/officeDocument/2006/relationships/hyperlink" Target="http://www.dpuc.state.ct.us/dockhistpost2000.nsf/8e6fc37a54110e3e852576190052b64d/815829027fcd10e98525829c0074e73c?OpenDocument" TargetMode="External"/><Relationship Id="rId29" Type="http://schemas.openxmlformats.org/officeDocument/2006/relationships/hyperlink" Target="http://www.dpuc.state.ct.us/dockcurr.nsf/8e6fc37a54110e3e852576190052b64d/5ff3cecf36fd2492852584f0005c4cb3/$FILE/070817RE02-0115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wealthmagazine.org/opinion/eversource-time-to-rein-in-competitive-electricity-suppliers/" TargetMode="External"/><Relationship Id="rId24" Type="http://schemas.openxmlformats.org/officeDocument/2006/relationships/hyperlink" Target="http://www.dpuc.state.ct.us/dockhistpost2000.nsf/8e6fc37a54110e3e852576190052b64d/ac0e4b32c7b9ab9f8525829d003bbfd0?OpenDocument" TargetMode="External"/><Relationship Id="rId32" Type="http://schemas.openxmlformats.org/officeDocument/2006/relationships/hyperlink" Target="https://www.mass.gov/news/ag-healey-calls-for-shut-down-of-individual-residential-competitive-supply-industry-to-protec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ga.ct.gov/2015/ACT/pa/pdf/2015PA-00090-R00SB-00573-PA.pdf" TargetMode="External"/><Relationship Id="rId23" Type="http://schemas.openxmlformats.org/officeDocument/2006/relationships/hyperlink" Target="http://www.dpuc.state.ct.us/dockcurr.nsf/8e6fc37a54110e3e852576190052b64d/c34453882a679cc5852582ac005631ac?OpenDocument" TargetMode="External"/><Relationship Id="rId28" Type="http://schemas.openxmlformats.org/officeDocument/2006/relationships/hyperlink" Target="http://www.dpuc.state.ct.us/dockcurr.nsf/8e6fc37a54110e3e852576190052b64d/1719ce4b29963bfe852584d2005c38e5/$FILE/PURA%20PRO%20and%20Abest%20Second%20Revised%20Settlement%20Agreement.pdf" TargetMode="External"/><Relationship Id="rId36" Type="http://schemas.openxmlformats.org/officeDocument/2006/relationships/footer" Target="footer1.xml"/><Relationship Id="rId10" Type="http://schemas.openxmlformats.org/officeDocument/2006/relationships/hyperlink" Target="https://www.mass.gov/files/documents/2018/03/29/Comp%20Supply%20Report%20Final%20032918.pdf" TargetMode="External"/><Relationship Id="rId19" Type="http://schemas.openxmlformats.org/officeDocument/2006/relationships/hyperlink" Target="http://www.dpuc.state.ct.us/dockhistpost2000.nsf/8e6fc37a54110e3e852576190052b64d/836b4f254da7ecc98525829c0074e6d1?OpenDocument" TargetMode="External"/><Relationship Id="rId31" Type="http://schemas.openxmlformats.org/officeDocument/2006/relationships/hyperlink" Target="https://www.mass.gov/news/ag-healey-files-legislation-to-protect-massachusetts-residents" TargetMode="External"/><Relationship Id="rId4" Type="http://schemas.openxmlformats.org/officeDocument/2006/relationships/settings" Target="settings.xml"/><Relationship Id="rId9" Type="http://schemas.openxmlformats.org/officeDocument/2006/relationships/hyperlink" Target="mailto:Richard.Sobolewski@ct.gov" TargetMode="External"/><Relationship Id="rId14" Type="http://schemas.openxmlformats.org/officeDocument/2006/relationships/hyperlink" Target="http://www.dpuc.state.ct.us/dockcurr.nsf/8e6fc37a54110e3e852576190052b64d/c0619bb870c055378525836900619e39?OpenDocument" TargetMode="External"/><Relationship Id="rId22" Type="http://schemas.openxmlformats.org/officeDocument/2006/relationships/hyperlink" Target="http://www.dpuc.state.ct.us/dockcurr.nsf/8e6fc37a54110e3e852576190052b64d/47b8f27461cba98385258257006c1b8b?OpenDocument" TargetMode="External"/><Relationship Id="rId27" Type="http://schemas.openxmlformats.org/officeDocument/2006/relationships/hyperlink" Target="http://www.dpuc.state.ct.us/dockcurr.nsf/8e6fc37a54110e3e852576190052b64d/7c7810e5256c2be6852584be006707d5/$FILE/20191126135500.pdf" TargetMode="External"/><Relationship Id="rId30" Type="http://schemas.openxmlformats.org/officeDocument/2006/relationships/hyperlink" Target="http://www.dpuc.state.ct.us/dockcurr.nsf/8e6fc37a54110e3e852576190052b64d/e71108b49bad44c1852584f6005a52f3/$FILE/Motion%20Requesting%20Approval%20of%20Settlement%20Agreement.pdf" TargetMode="External"/><Relationship Id="rId35" Type="http://schemas.openxmlformats.org/officeDocument/2006/relationships/hyperlink" Target="http://www.dpuc.state.ct.us/dockcurr.nsf/8e6fc37a54110e3e852576190052b64d/32f2029c74068ec3852582a20049aed9?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4B2E1-91E8-4B4E-BCAC-EC7F792E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RitsonN</dc:creator>
  <cp:lastModifiedBy>Melody Mendez</cp:lastModifiedBy>
  <cp:revision>3</cp:revision>
  <cp:lastPrinted>2019-01-28T18:23:00Z</cp:lastPrinted>
  <dcterms:created xsi:type="dcterms:W3CDTF">2020-02-20T15:21:00Z</dcterms:created>
  <dcterms:modified xsi:type="dcterms:W3CDTF">2020-02-20T15:21:00Z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